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EA" w:rsidRDefault="0095181F">
      <w:pPr>
        <w:pStyle w:val="Pagedecouverture"/>
        <w:rPr>
          <w:noProof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81675" cy="5448300"/>
            <wp:effectExtent l="0" t="0" r="9525" b="0"/>
            <wp:docPr id="1" name="Obrázok 1" descr="10E536B0-3821-4D73-A8A5-9F021803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E536B0-3821-4D73-A8A5-9F02180361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EA" w:rsidRDefault="005075EA">
      <w:pPr>
        <w:rPr>
          <w:noProof/>
        </w:rPr>
        <w:sectPr w:rsidR="005075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I </w:t>
      </w:r>
      <w:r>
        <w:rPr>
          <w:noProof/>
        </w:rPr>
        <w:br/>
        <w:t xml:space="preserve">TECHNIKY A PRÍSTUPY UMELEJ INTELIGENCIE </w:t>
      </w:r>
      <w:r>
        <w:rPr>
          <w:noProof/>
        </w:rPr>
        <w:br/>
        <w:t xml:space="preserve">uvedené v článku 3 bode 1 </w:t>
      </w:r>
    </w:p>
    <w:p w:rsidR="005075EA" w:rsidRDefault="006E78D4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prístupy strojového učenia vrátane učenia s učiteľom, bez učiteľa a </w:t>
      </w:r>
      <w:r>
        <w:rPr>
          <w:noProof/>
        </w:rPr>
        <w:t>učenia posilňovaním pomocou širokého spektra metód vrátane hĺbkového učenia;</w:t>
      </w:r>
    </w:p>
    <w:p w:rsidR="005075EA" w:rsidRDefault="006E78D4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prístupy založené na logike a poznatkoch vrátane reprezentácie poznatkov, induktívneho (logického) programovania, vedomostných základní, inferenčných a deduktívnych mechanizmov</w:t>
      </w:r>
      <w:r>
        <w:rPr>
          <w:noProof/>
        </w:rPr>
        <w:t>, (symbolického) uvažovania a expertných systémov;</w:t>
      </w:r>
    </w:p>
    <w:p w:rsidR="005075EA" w:rsidRDefault="006E78D4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štatistické prístupy, bayesovský odhad, metódy vyhľadávania a optimalizácie.</w:t>
      </w:r>
    </w:p>
    <w:p w:rsidR="005075EA" w:rsidRDefault="005075EA">
      <w:pPr>
        <w:rPr>
          <w:noProof/>
        </w:rPr>
        <w:sectPr w:rsidR="005075EA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II </w:t>
      </w:r>
      <w:r>
        <w:rPr>
          <w:noProof/>
        </w:rPr>
        <w:br/>
        <w:t xml:space="preserve">ZOZNAM HARMONIZAČNÝCH PRÁVNYCH PREDPISOV ÚNIE </w:t>
      </w:r>
      <w:r>
        <w:rPr>
          <w:noProof/>
        </w:rPr>
        <w:br/>
        <w:t>Oddiel A – Zo</w:t>
      </w:r>
      <w:r>
        <w:rPr>
          <w:noProof/>
        </w:rPr>
        <w:t>znam harmonizačných právnych predpisov Únie na základe nového legislatívneho rámca</w:t>
      </w:r>
    </w:p>
    <w:p w:rsidR="005075EA" w:rsidRDefault="006E78D4">
      <w:pPr>
        <w:pStyle w:val="NumPar1"/>
        <w:numPr>
          <w:ilvl w:val="0"/>
          <w:numId w:val="11"/>
        </w:numPr>
        <w:rPr>
          <w:noProof/>
        </w:rPr>
      </w:pPr>
      <w:r>
        <w:rPr>
          <w:noProof/>
        </w:rPr>
        <w:t>smernica Európskeho parlamentu a Rady 2006/42/ES zo 17. mája 2006 o strojových zariadeniach a o zmene a doplnení smernice 95/16/ES (Ú. v. EÚ L 157, 9.6.2006, s. 24) [zrušená</w:t>
      </w:r>
      <w:r>
        <w:rPr>
          <w:noProof/>
        </w:rPr>
        <w:t xml:space="preserve"> nariadením o strojových zariadeniach];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smernica Európskeho parlamentu a Rady 2009/48/ES z 18. júna 2009 o bezpečnosti hračiek (Ú. v. EÚ L 170, 30.6.2009, s. 1);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 xml:space="preserve">smernica Európskeho parlamentu a Rady 2013/53/EÚ z 20. novembra 2013 o rekreačných plavidlách </w:t>
      </w:r>
      <w:r>
        <w:rPr>
          <w:noProof/>
        </w:rPr>
        <w:t>a vodných skútroch a o zrušení smernice 94/25/ES (Ú. v. EÚ L 354, 28.12.2013, s. 90);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smernica Európskeho parlamentu a Rady 2014/33/EÚ z 26. februára 2014 o harmonizácii právnych predpisov členských štátov týkajúcich sa výťahov a bezpečnostných komponentov</w:t>
      </w:r>
      <w:r>
        <w:rPr>
          <w:noProof/>
        </w:rPr>
        <w:t xml:space="preserve"> do výťahov (Ú. v. EÚ L 96, 29.3.2014, s. 251);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smernica Európskeho parlamentu a Rady 2014/34/EÚ z 26. februára 2014 o harmonizácii právnych predpisov členských štátov týkajúcich sa zariadení a ochranných systémov určených na použitie v potenciálne výbušne</w:t>
      </w:r>
      <w:r>
        <w:rPr>
          <w:noProof/>
        </w:rPr>
        <w:t>j atmosfére (Ú. v. EÚ L 96, 29.3.2014, s. 309);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smernica Európskeho parlamentu a Rady 2014/53/EÚ zo 16. apríla 2014 o harmonizácii právnych predpisov členských štátov týkajúcich sa sprístupňovania rádiových zariadení na trhu, ktorou sa zrušuje smernica 199</w:t>
      </w:r>
      <w:r>
        <w:rPr>
          <w:noProof/>
        </w:rPr>
        <w:t>9/5/ES (Ú. v. EÚ L 153, 22.5.2014, s. 62);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smernica Európskeho parlamentu a Rady 2014/68/EÚ z 15. mája 2014 o harmonizácii právnych predpisov členských štátov týkajúcich sa sprístupňovania tlakových zariadení na trhu (Ú. v. EÚ L 189, 27.6.2014, s. 164);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na</w:t>
      </w:r>
      <w:r>
        <w:rPr>
          <w:noProof/>
        </w:rPr>
        <w:t>riadenie Európskeho parlamentu a Rady (EÚ) 2016/424 z 9. marca 2016 o lanovkových zariadeniach a zrušení smernice 2000/9/ES (Ú. v. EÚ L 81, 31.3.2016, s. 1);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nariadenie Európskeho parlamentu a Rady (EÚ) 2016/425 z 9. marca 2016 o osobných ochranných prostr</w:t>
      </w:r>
      <w:r>
        <w:rPr>
          <w:noProof/>
        </w:rPr>
        <w:t>iedkoch a o zrušení smernice Rady 89/686/EHS (Ú. v. EÚ L 81, 31.3.2016, s. 51);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nariadenie Európskeho parlamentu a Rady (EÚ) 2016/426 z 9. marca 2016 o spotrebičoch spaľujúcich plynné palivá a zrušení smernice 2009/142/ES (Ú. v. EÚ L 81, 31.3.2016, s. 99);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nariadenie Európskeho parlamentu a Rady (EÚ) 2017/745 z 5. apríla 2017 o zdravotníckych pomôckach, zmene smernice 2001/83/ES, nariadenia (ES) č. 178/2002 a nariadenia (ES) č. 1223/2009 a o zrušení smerníc Rady 90/385/EHS a 93/42/EHS (Ú. v. EÚ L 117, 5.5.2</w:t>
      </w:r>
      <w:r>
        <w:rPr>
          <w:noProof/>
        </w:rPr>
        <w:t>017, s. 1);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 xml:space="preserve">nariadenie Európskeho parlamentu a Rady (EÚ) 2017/746 z 5. apríla 2017 o diagnostických zdravotníckych pomôckach </w:t>
      </w:r>
      <w:r>
        <w:rPr>
          <w:i/>
          <w:iCs/>
          <w:noProof/>
        </w:rPr>
        <w:t>in vitro</w:t>
      </w:r>
      <w:r>
        <w:rPr>
          <w:noProof/>
        </w:rPr>
        <w:t xml:space="preserve"> a o zrušení smernice 98/79/ES a rozhodnutia Komisie 2010/227/EÚ (Ú. v. EÚ L 117, 5.5.2017, s. 176).</w:t>
      </w:r>
    </w:p>
    <w:p w:rsidR="005075EA" w:rsidRDefault="005075EA">
      <w:pPr>
        <w:pStyle w:val="Text1"/>
        <w:ind w:left="0"/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Oddi</w:t>
      </w:r>
      <w:r>
        <w:rPr>
          <w:b/>
          <w:noProof/>
          <w:u w:val="single"/>
        </w:rPr>
        <w:t>el B – Zoznam iných harmonizačných právnych predpisov Únie</w:t>
      </w:r>
    </w:p>
    <w:p w:rsidR="005075EA" w:rsidRDefault="006E78D4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nariadenie Európskeho parlamentu a Rady (ES) č. 300/2008 z 11. marca 2008 o spoločných pravidlách v oblasti bezpečnostnej ochrany civilného letectva a o zrušení nariadenia (ES) č. 2320/2002 (Ú. v. </w:t>
      </w:r>
      <w:r>
        <w:rPr>
          <w:noProof/>
        </w:rPr>
        <w:t>EÚ L 97, 9.4.2008, s. 72);</w:t>
      </w:r>
    </w:p>
    <w:p w:rsidR="005075EA" w:rsidRDefault="006E78D4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nariadenie Európskeho parlamentu a Rady (EÚ) č. 168/2013 z 15. januára 2013 o schvaľovaní a dohľade nad trhom dvoj- alebo trojkolesových vozidiel a štvorkoliek (Ú. v. EÚ L 60, 2.3.2013, s. 52);</w:t>
      </w:r>
    </w:p>
    <w:p w:rsidR="005075EA" w:rsidRDefault="006E78D4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nariadenie Európskeho parlamentu a </w:t>
      </w:r>
      <w:r>
        <w:rPr>
          <w:noProof/>
        </w:rPr>
        <w:t>Rady (EÚ) č. 167/2013 z 5. februára 2013 o schvaľovaní poľnohospodárskych a lesných vozidiel a o dohľade nad trhom s týmito vozidlami (Ú. v. EÚ L 60, 2.3.2013, s. 1);</w:t>
      </w:r>
    </w:p>
    <w:p w:rsidR="005075EA" w:rsidRDefault="006E78D4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smernica Európskeho parlamentu a Rady 2014/90/EÚ z 23. júla 2014 o vybavení námorných lod</w:t>
      </w:r>
      <w:r>
        <w:rPr>
          <w:noProof/>
        </w:rPr>
        <w:t>í a o zrušení smernice Rady 96/98/ES (Ú. v. EÚ L 257, 28.8.2014, s. 146);</w:t>
      </w:r>
    </w:p>
    <w:p w:rsidR="005075EA" w:rsidRDefault="006E78D4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smernica Európskeho parlamentu a Rady (EÚ) 2016/797 z 11. mája 2016 o interoperabilite železničného systému v Európskej únii (Ú. v. EÚ L 138, 26.5.2016, s. 44);</w:t>
      </w:r>
    </w:p>
    <w:p w:rsidR="005075EA" w:rsidRDefault="006E78D4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nariadenie Európskeho</w:t>
      </w:r>
      <w:r>
        <w:rPr>
          <w:noProof/>
        </w:rPr>
        <w:t xml:space="preserve"> parlamentu a Rady (EÚ) 2018/858 z 30. mája 2018 o schvaľovaní motorových vozidiel a ich prípojných vozidiel, ako aj systémov, komponentov a samostatných technických jednotiek určených pre takéto vozidlá a o dohľade nad trhom s nimi, ktorým sa menia nariad</w:t>
      </w:r>
      <w:r>
        <w:rPr>
          <w:noProof/>
        </w:rPr>
        <w:t>enia (ES) č. 715/2007 a (ES) č. 595/2009 a zrušuje smernica 2007/46/ES (Ú. v. EÚ L 151, 14.6.2018, s. 1); 3. nariadenie Európskeho parlamentu a Rady (EÚ) 2019/2144 z 27. novembra 2019 o požiadavkách na typové schvaľovanie motorových vozidiel a ich prípojný</w:t>
      </w:r>
      <w:r>
        <w:rPr>
          <w:noProof/>
        </w:rPr>
        <w:t>ch vozidiel a systémov, komponentov a samostatných technických jednotiek určených pre tieto vozidlá, pokiaľ ide o ich všeobecnú bezpečnosť a ochranu cestujúcich vo vozidle a zraniteľných účastníkov cestnej premávky, ktorým sa mení nariadenie Európskeho par</w:t>
      </w:r>
      <w:r>
        <w:rPr>
          <w:noProof/>
        </w:rPr>
        <w:t>lamentu a Rady (EÚ) 2018/858 a ktorým sa zrušujú nariadenia Európskeho parlamentu a Rady (ES) č. 78/2009, (ES) č. 79/2009 a (ES) č. 661/2009 a nariadenia Komisie (ES) č. 631/2009, (EÚ) č. 406/2010, (EÚ) č. 672/2010, (EÚ) č. 1003/2010, (EÚ) č. 1005/2010, (E</w:t>
      </w:r>
      <w:r>
        <w:rPr>
          <w:noProof/>
        </w:rPr>
        <w:t>Ú) č. 1008/2010, (EÚ) č. 1009/2010, (EÚ) č. 19/2011, (EÚ) č. 109/2011, (EÚ) č. 458/2011, (EÚ) č. 65/2012, (EÚ) č. 130/2012, (EÚ) č. 347/2012, (EÚ) č. 351/2012, (EÚ) č. 1230/2012 a (EÚ) 2015/166 (Ú. v. EÚ L 325, 16.12.2019, s. 1);</w:t>
      </w:r>
    </w:p>
    <w:p w:rsidR="005075EA" w:rsidRDefault="006E78D4"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 xml:space="preserve">nariadenie Európskeho </w:t>
      </w:r>
      <w:r>
        <w:rPr>
          <w:noProof/>
        </w:rPr>
        <w:t>parlamentu a Rady (EÚ) 2018/1139 zo 4. júla 2018 o spoločných pravidlách v oblasti civilného letectva, ktorým sa zriaďuje Agentúra Európskej únie pre bezpečnosť letectva a ktorým sa menia nariadenia Európskeho parlamentu a Rady (ES) č. 2111/2005, (ES) č. 1</w:t>
      </w:r>
      <w:r>
        <w:rPr>
          <w:noProof/>
        </w:rPr>
        <w:t>008/2008, (EÚ) č. 996/2010, (EÚ) č. 376/2014 a smernice Európskeho parlamentu a Rady 2014/30/EÚ a 2014/53/EÚ a zrušujú nariadenia Európskeho parlamentu a Rady (ES) č. 552/2004 a (ES) č. 216/2008 a nariadenie Rady (EHS) č. 3922/91 (Ú. v. EÚ L 212, 22.8.2018</w:t>
      </w:r>
      <w:r>
        <w:rPr>
          <w:noProof/>
        </w:rPr>
        <w:t>, s. 1), pokiaľ ide o projektovanie a výrobu lietadiel uvedených v článku 2 ods. 1 písm. a) a b) a ich umiestňovanie na trh, ak sa týka bezpilotných vzdušných prostriedkov a ide o ich motory, vrtule, súčasti a vybavenie na ich diaľkové ovládanie.</w:t>
      </w:r>
    </w:p>
    <w:p w:rsidR="005075EA" w:rsidRDefault="005075EA">
      <w:pPr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III </w:t>
      </w:r>
      <w:r>
        <w:rPr>
          <w:noProof/>
        </w:rPr>
        <w:br/>
        <w:t>VYSOKORIZIKOVÉ SYSTÉMY UMELEJ INTELIGENCIE</w:t>
      </w:r>
      <w:r>
        <w:rPr>
          <w:b w:val="0"/>
          <w:noProof/>
        </w:rPr>
        <w:t xml:space="preserve"> </w:t>
      </w:r>
      <w:r>
        <w:rPr>
          <w:noProof/>
        </w:rPr>
        <w:t>UVEDENÉ V ČLÁNKU 6 ODS. 2</w:t>
      </w:r>
    </w:p>
    <w:p w:rsidR="005075EA" w:rsidRDefault="006E78D4">
      <w:pPr>
        <w:rPr>
          <w:noProof/>
        </w:rPr>
      </w:pPr>
      <w:r>
        <w:rPr>
          <w:noProof/>
        </w:rPr>
        <w:t>Vysokorizikové systémy umelej inteligencie podľa článku 6 ods. 2 sú systémy umelej inteligencie uvedené v ktorejkoľvek z týchto oblastí:</w:t>
      </w:r>
    </w:p>
    <w:p w:rsidR="005075EA" w:rsidRDefault="006E78D4">
      <w:pPr>
        <w:pStyle w:val="NumPar1"/>
        <w:numPr>
          <w:ilvl w:val="0"/>
          <w:numId w:val="15"/>
        </w:numPr>
        <w:rPr>
          <w:noProof/>
        </w:rPr>
      </w:pPr>
      <w:r>
        <w:rPr>
          <w:noProof/>
        </w:rPr>
        <w:t>Biometrická identi</w:t>
      </w:r>
      <w:r>
        <w:rPr>
          <w:noProof/>
        </w:rPr>
        <w:t>fikácia a kategorizácia fyzických osôb: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systémy umelej inteligencie určené na používanie na diaľkovú biometrickú identifikáciu fyzických osôb „v reálnom čase“ a „následne“.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Riadenie a prevádzka kritickej infraštruktúry: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systémy umelej inteligencie, k</w:t>
      </w:r>
      <w:r>
        <w:rPr>
          <w:noProof/>
        </w:rPr>
        <w:t>toré sa majú používať ako bezpečnostné komponenty pri riadení a prevádzke cestnej premávky a pri dodávkach vody, plynu, tepla a elektriny.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Vzdelávanie a odborná príprava: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 xml:space="preserve">systémy umelej inteligencie, ktoré sa majú používať na určovanie prístupu fyzických osôb do inštitúcií vzdelávania a odbornej prípravy alebo na ich priradenie k týmto inštitúciám; 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systémy umelej inteligencie, ktoré sa majú používať na hodnotenie študen</w:t>
      </w:r>
      <w:r>
        <w:rPr>
          <w:noProof/>
        </w:rPr>
        <w:t>tov vo vzdelávacích inštitúciách a inštitúciách odbornej prípravy a na hodnotenie účastníkov skúšok, ktoré sa bežne vyžadujú na prijatie do vzdelávacích inštitúcií.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Zamestnanosť, riadenie pracovníkov a prístup k samostatnej zárobkovej činnosti: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systémy </w:t>
      </w:r>
      <w:r>
        <w:rPr>
          <w:noProof/>
        </w:rPr>
        <w:t xml:space="preserve">umelej inteligencie určené na nábor alebo výber fyzických osôb, najmä na inzerovanie voľných pracovných miest, preverovanie alebo filtrovanie žiadostí, hodnotenie uchádzačov počas pohovorov alebo skúšok; 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systémy umelej inteligencie, ktoré sa majú použí</w:t>
      </w:r>
      <w:r>
        <w:rPr>
          <w:noProof/>
        </w:rPr>
        <w:t>vať pri rozhodovaní o postupe v zamestnaní a ukončení zmluvných pracovných vzťahov, pri prideľovaní úloh a monitorovaní a hodnotení výkonnosti a správania osôb v rámci takýchto vzťahov.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Prístup k základným súkromným a verejným službám a dávkam a ich využív</w:t>
      </w:r>
      <w:r>
        <w:rPr>
          <w:noProof/>
        </w:rPr>
        <w:t>anie: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systémy umelej inteligencie, ktoré sa majú používať orgánmi verejnej moci alebo v ich mene na hodnotenie oprávnenosti fyzických osôb na dávky a služby verejnej pomoci, ako aj na poskytovanie, zníženie či zrušenie takýchto dávok a služieb alebo na </w:t>
      </w:r>
      <w:r>
        <w:rPr>
          <w:noProof/>
        </w:rPr>
        <w:t>žiadosti o ich vrátenie;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systémy umelej inteligencie, ktoré sa majú používať na hodnotenie úverovej bonity fyzických osôb alebo stanovenie ich bodového hodnotenia kreditného rizika, s výnimkou systémov umelej inteligencie prevádzkovaných malými poskytov</w:t>
      </w:r>
      <w:r>
        <w:rPr>
          <w:noProof/>
        </w:rPr>
        <w:t>ateľmi na vlastnú potrebu;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systémy umelej inteligencie určené na vysielanie záchranných služieb prvej reakcie vrátane hasičov a zdravotníckej pomoci alebo na stanovovanie priority ich vysielania.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 xml:space="preserve"> Presadzovanie práva: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systémy umelej inteligencie, kto</w:t>
      </w:r>
      <w:r>
        <w:rPr>
          <w:noProof/>
        </w:rPr>
        <w:t xml:space="preserve">ré majú používať orgány presadzovania práva na individuálne posúdenie rizika fyzických osôb s cieľom posúdiť riziko, ktoré </w:t>
      </w:r>
      <w:r>
        <w:rPr>
          <w:noProof/>
        </w:rPr>
        <w:lastRenderedPageBreak/>
        <w:t>fyzická osoba predstavuje z hľadiska (opakovaného) páchania trestnej činnosti, alebo riziko pre potenciálne obete trestných činov;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systémy umelej inteligencie, ktoré majú používať orgány presadzovania práva, ako napríklad detektory lži a podobné nástroje, alebo na zisťovanie emocionálneho stavu fyzickej osoby;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systémy umelej inteligencie, ktoré majú používať orgány presadzovania p</w:t>
      </w:r>
      <w:r>
        <w:rPr>
          <w:noProof/>
        </w:rPr>
        <w:t>ráva na odhaľovanie prípadov tzv. deepfake, ako sa uvádza v článku 52 ods. 3;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systémy umelej inteligencie, ktoré majú používať orgány presadzovania práva na hodnotenie spoľahlivosti dôkazov v priebehu vyšetrovania alebo stíhania trestných činov;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syst</w:t>
      </w:r>
      <w:r>
        <w:rPr>
          <w:noProof/>
        </w:rPr>
        <w:t>émy umelej inteligencie, ktoré majú používať orgány presadzovania práva na predvídanie výskytu alebo opakovaného výskytu skutočného alebo potenciálneho trestného činu na základe profilovania fyzických osôb uvedeného v článku 3 bode 4 smernice (EÚ) 2016/680</w:t>
      </w:r>
      <w:r>
        <w:rPr>
          <w:noProof/>
        </w:rPr>
        <w:t>, alebo na posúdenie osobnostných a povahových rysov alebo trestnej činnosti fyzických osôb alebo skupín v minulosti;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systémy umelej inteligencie, ktoré majú orgány presadzovania práva používať na profilovanie fyzických osôb uvedené v článku 3 bode 4 sm</w:t>
      </w:r>
      <w:r>
        <w:rPr>
          <w:noProof/>
        </w:rPr>
        <w:t>ernice (EÚ) 2016/680 v priebehu odhaľovania, vyšetrovania alebo stíhania trestných činov;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systémy umelej inteligencie, ktoré sa majú používať pri analýze trestnej činnosti týkajúcej sa fyzických osôb, čo orgánom presadzovania práva umožní prehľadávať zl</w:t>
      </w:r>
      <w:r>
        <w:rPr>
          <w:noProof/>
        </w:rPr>
        <w:t>ožité súvisiace aj nesúvisiace veľké súbory údajov dostupné v rôznych dátových zdrojoch alebo v rôznych dátových formátoch s cieľom identifikovať v údajoch neznáme vzorce alebo odhaliť medzi nimi skryté vzťahy.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Migrácia, azyl a riadenie kontroly hraníc: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systémy umelej inteligencie, ktoré majú používať príslušné orgány verejnej moci, ako napríklad detektory lži a podobné nástroje, alebo na zisťovanie emocionálneho stavu fyzickej osoby;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systémy umelej inteligencie, ktoré majú používať príslušné orgány v</w:t>
      </w:r>
      <w:r>
        <w:rPr>
          <w:noProof/>
        </w:rPr>
        <w:t xml:space="preserve">erejnej moci na posúdenie rizika vrátane bezpečnostného rizika, rizika nelegálneho prisťahovalectva alebo zdravotného rizika, ktoré predstavuje fyzická osoba, ktorá má v úmysle vstúpiť na územie členského štátu alebo naň už vstúpila; 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systémy umelej int</w:t>
      </w:r>
      <w:r>
        <w:rPr>
          <w:noProof/>
        </w:rPr>
        <w:t>eligencie, ktoré majú používať príslušné orgány verejnej moci na overovanie pravosti cestovných dokladov a podpornej dokumentácie fyzických osôb a odhaľovanie nepravých dokladov kontrolou ich ochranných prvkov;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systémy umelej inteligencie určené na pomo</w:t>
      </w:r>
      <w:r>
        <w:rPr>
          <w:noProof/>
        </w:rPr>
        <w:t>c príslušným orgánom verejnej moci pri posudzovaní žiadostí o azyl, víza a povolení na pobyt a súvisiacich sťažností týkajúcich sa oprávnenosti fyzických osôb žiadajúcich o určitý status.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Výkon spravodlivosti a demokratické procesy: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systémy umelej intel</w:t>
      </w:r>
      <w:r>
        <w:rPr>
          <w:noProof/>
        </w:rPr>
        <w:t>igencie určené na pomoc súdnemu orgánu pri skúmaní a interpretácii faktov a práva a pri uplatňovaní práva na konkrétny súbor skutočností.</w:t>
      </w:r>
    </w:p>
    <w:p w:rsidR="005075EA" w:rsidRDefault="005075EA">
      <w:pPr>
        <w:pStyle w:val="Point1letter"/>
        <w:numPr>
          <w:ilvl w:val="3"/>
          <w:numId w:val="32"/>
        </w:numPr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IV </w:t>
      </w:r>
      <w:r>
        <w:rPr>
          <w:noProof/>
        </w:rPr>
        <w:br/>
        <w:t>TECHNICKÁ DOKUMENTÁCIA uvedená v článku 11 ods. 1</w:t>
      </w:r>
    </w:p>
    <w:p w:rsidR="005075EA" w:rsidRDefault="006E78D4">
      <w:pPr>
        <w:rPr>
          <w:noProof/>
        </w:rPr>
      </w:pPr>
      <w:r>
        <w:rPr>
          <w:noProof/>
        </w:rPr>
        <w:t>Technická dokumentácia uvedená v článk</w:t>
      </w:r>
      <w:r>
        <w:rPr>
          <w:noProof/>
        </w:rPr>
        <w:t>u 11 ods. 1 obsahuje v závislosti od príslušného systému umelej inteligencie aspoň tieto informácie:</w:t>
      </w:r>
    </w:p>
    <w:p w:rsidR="005075EA" w:rsidRDefault="006E78D4">
      <w:pPr>
        <w:pStyle w:val="NumPar1"/>
        <w:numPr>
          <w:ilvl w:val="0"/>
          <w:numId w:val="13"/>
        </w:numPr>
        <w:rPr>
          <w:noProof/>
        </w:rPr>
      </w:pPr>
      <w:r>
        <w:rPr>
          <w:noProof/>
        </w:rPr>
        <w:t>Všeobecný opis systému umelej inteligencie vrátane týchto prvkov: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jeho zamýšľaný účel, osoba/osoby, ktoré systém vyvíjajú, dátum a verzia systému;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>spôsob interakcie systému umelej inteligencie s hardvérom alebo softvérom, ktorý nie je súčasťou samotného systému umelej inteligencie, alebo ako ho prípadne možno na takúto interakciu použiť;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verzie príslušného softvéru alebo firmvéru a všetky požiadav</w:t>
      </w:r>
      <w:r>
        <w:rPr>
          <w:noProof/>
        </w:rPr>
        <w:t>ky súvisiace s aktualizáciou verzií;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opis všetkých foriem, v ktorých sa systém umelej inteligencie uvádza na trh alebo do prevádzky;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opis hardvéru, na ktorom má systém umelej inteligencie fungovať;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ak je systém umelej inteligencie komponentom výro</w:t>
      </w:r>
      <w:r>
        <w:rPr>
          <w:noProof/>
        </w:rPr>
        <w:t>bkov, fotografií alebo ilustrácií zobrazujúcich vonkajšie vlastnosti, tak označenie a vnútorné usporiadanie týchto výrobkov;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návod na použitie pre používateľa a v náležitom prípade návod na montáž.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Podrobný opis prvkov systému umelej inteligencie a proc</w:t>
      </w:r>
      <w:r>
        <w:rPr>
          <w:noProof/>
        </w:rPr>
        <w:t>esu jeho vývoja, a to: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metódy a kroky vykonané pri vývoji systému umelej inteligencie vrátane prípadného využívania vopred natrénovaných systémov alebo nástrojov poskytnutých tretími stranami a spôsobu, akým ich poskytovateľ používal, integroval alebo u</w:t>
      </w:r>
      <w:r>
        <w:rPr>
          <w:noProof/>
        </w:rPr>
        <w:t>pravil;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špecifikácie koncepcie systému, konkrétne všeobecná logika systému umelej inteligencie a algoritmov; kľúčové rozhodnutia o koncepčných riešeniach vrátane odôvodnenia a predpokladov, a to aj so zreteľom na osoby alebo skupiny osôb, v prípade ktor</w:t>
      </w:r>
      <w:r>
        <w:rPr>
          <w:noProof/>
        </w:rPr>
        <w:t>ých sa má systém používať; hlavné možnosti klasifikácie; čo má systém optimalizovať a relevantnosť jednotlivých parametrov; rozhodnutia o akomkoľvek možnom kompromise vykonanom v súvislosti s technickými riešeniami prijatými na dosiahnutie súladu s požiada</w:t>
      </w:r>
      <w:r>
        <w:rPr>
          <w:noProof/>
        </w:rPr>
        <w:t>vkami stanovenými v hlave III kapitole 2;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opis architektúry systému, v ktorom sa vysvetľuje, ako softvérové komponenty na seba nadväzujú alebo ako sa navzájom dopĺňajú a integrujú do celkového spracovania; výpočtové zdroje používané na vývoj, trénovanie</w:t>
      </w:r>
      <w:r>
        <w:rPr>
          <w:noProof/>
        </w:rPr>
        <w:t>, testovanie a validáciu systému umelej inteligencie;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v príslušnom prípade požiadavky na údaje, pokiaľ ide o údajové hárky s opisom trénovacích metodík a techník a použitých súborov trénovacích údajov vrátane informácií o pôvode týchto súborov údajov, i</w:t>
      </w:r>
      <w:r>
        <w:rPr>
          <w:noProof/>
        </w:rPr>
        <w:t>ch rozsahu a hlavných vlastnostiach; spôsob získavania a výberu údajov; postupy označovania (napr. pre učenie s učiteľom), metodiky čistenia údajov (napr. zisťovanie odľahlých hodnôt);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posúdenie potrebných opatrení na zabezpečenie ľudského dohľadu v </w:t>
      </w:r>
      <w:r>
        <w:rPr>
          <w:noProof/>
        </w:rPr>
        <w:t xml:space="preserve">súlade s článkom 14 vrátane posúdenia technických opatrení potrebných na uľahčenie </w:t>
      </w:r>
      <w:r>
        <w:rPr>
          <w:noProof/>
        </w:rPr>
        <w:lastRenderedPageBreak/>
        <w:t>interpretácie výstupov systémov umelej inteligencie používateľmi v súlade s článkom 13 ods. 3 písm. d);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v náležitom prípade podrobný opis vopred určených zmien systému um</w:t>
      </w:r>
      <w:r>
        <w:rPr>
          <w:noProof/>
        </w:rPr>
        <w:t>elej inteligencie a jeho výkonnosti spolu so všetkými relevantnými informáciami týkajúcimi sa technických riešení prijatých na zabezpečenie trvalého súladu systému umelej inteligencie s príslušnými požiadavkami stanovenými v hlave III kapitole 2;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použit</w:t>
      </w:r>
      <w:r>
        <w:rPr>
          <w:noProof/>
        </w:rPr>
        <w:t>é postupy validácie a testovania vrátane informácií o použitých validačných a testovacích údajoch a ich hlavných vlastnostiach; metriky používané na meranie presnosti, spoľahlivosti, kybernetickej bezpečnosti a dosiahnutie súladu s inými relevantnými požia</w:t>
      </w:r>
      <w:r>
        <w:rPr>
          <w:noProof/>
        </w:rPr>
        <w:t>davkami stanovenými v hlave III kapitole 2, ako aj potenciálne diskriminačné vplyvy; testovacie logy a všetky správy o testoch s dátumom a podpisom zodpovedných osôb, a to aj pokiaľ ide o vopred určené zmeny uvedené v písmene f).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Podrobné informácie o moni</w:t>
      </w:r>
      <w:r>
        <w:rPr>
          <w:noProof/>
        </w:rPr>
        <w:t>torovaní, fungovaní a kontrole systému umelej inteligencie, najmä pokiaľ ide o: jeho schopnosti a obmedzenia výkonnosti vrátane miery presnosti v prípade konkrétnych osôb alebo skupín osôb, u ktorých sa má systém používať, a celkovú očakávanú úroveň presno</w:t>
      </w:r>
      <w:r>
        <w:rPr>
          <w:noProof/>
        </w:rPr>
        <w:t xml:space="preserve">sti vo vzťahu k zamýšľanému účelu; predvídateľné nezamýšľané výsledky a zdroje rizík pre zdravie a bezpečnosť, základné práva a diskrimináciu vzhľadom na zamýšľaný účel systému umelej inteligencie; opatrenia ľudského dohľadu potrebné v súlade s článkom 14 </w:t>
      </w:r>
      <w:r>
        <w:rPr>
          <w:noProof/>
        </w:rPr>
        <w:t>vrátane technických opatrení zavedených na uľahčenie interpretácie výstupov systémov umelej inteligencie používateľmi; prípadné špecifikácie vstupných údajov.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Podrobný opis systému riadenia rizík v súlade s článkom 9.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 xml:space="preserve">Opis každej zmeny vykonanej v systéme </w:t>
      </w:r>
      <w:r>
        <w:rPr>
          <w:noProof/>
        </w:rPr>
        <w:t>počas jeho životného cyklu.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 xml:space="preserve">Zoznam harmonizovaných, úplne alebo čiastočne uplatnených noriem, na ktoré boli uverejnené odkazy v </w:t>
      </w:r>
      <w:r>
        <w:rPr>
          <w:i/>
          <w:iCs/>
          <w:noProof/>
        </w:rPr>
        <w:t>Úradnom vestníku Európskej únie</w:t>
      </w:r>
      <w:r>
        <w:rPr>
          <w:noProof/>
        </w:rPr>
        <w:t>. Ak sa žiadne takéto harmonizované normy neuplatnili, podrobný opis riešení prijatých na splneni</w:t>
      </w:r>
      <w:r>
        <w:rPr>
          <w:noProof/>
        </w:rPr>
        <w:t>e požiadaviek stanovených v hlave III kapitole 2 vrátane zoznamu iných príslušných noriem a technických špecifikácií, ktoré sa uplatnili.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Kópiu EÚ vyhlásenia o zhode.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 xml:space="preserve">Podrobný opis systému zavedeného na hodnotenie výkonnosti systému umelej inteligencie vo </w:t>
      </w:r>
      <w:r>
        <w:rPr>
          <w:noProof/>
        </w:rPr>
        <w:t>fáze po uvedení na trh v súlade s článkom 61 vrátane plánu monitorovania po uvedení na trh v zmysle článku 61 ods. 3.</w:t>
      </w:r>
    </w:p>
    <w:p w:rsidR="005075EA" w:rsidRDefault="005075EA">
      <w:pPr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V </w:t>
      </w:r>
      <w:r>
        <w:rPr>
          <w:noProof/>
        </w:rPr>
        <w:br/>
        <w:t>EÚ VYHLÁSENIE O ZHODE</w:t>
      </w:r>
    </w:p>
    <w:p w:rsidR="005075EA" w:rsidRDefault="006E78D4">
      <w:pPr>
        <w:rPr>
          <w:noProof/>
        </w:rPr>
      </w:pPr>
      <w:r>
        <w:rPr>
          <w:noProof/>
        </w:rPr>
        <w:t>EÚ vyhlásenie o zhode uvedené v článku 48 musí obsahovať všetky tieto informácie: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názov</w:t>
      </w:r>
      <w:r>
        <w:rPr>
          <w:noProof/>
        </w:rPr>
        <w:t xml:space="preserve"> a typ systému umelej inteligencie a akýkoľvek ďalší jednoznačný odkaz umožňujúci identifikáciu a vysledovateľnosť daného systému umelej inteligencie;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meno a adresa poskytovateľa alebo v náležitom prípade jeho splnomocneného zástupcu;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 xml:space="preserve">vyhlásenie o tom, že </w:t>
      </w:r>
      <w:r>
        <w:rPr>
          <w:noProof/>
        </w:rPr>
        <w:t>EÚ vyhlásenie o zhode sa vydáva na výhradnú zodpovednosť poskytovateľa;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vyhlásenie, že daný systém umelej inteligencie je v súlade s týmto nariadením a prípadne aj s akýmikoľvek inými príslušnými právnymi predpismi Únie, ktorými sa stanovuje vydávanie EÚ v</w:t>
      </w:r>
      <w:r>
        <w:rPr>
          <w:noProof/>
        </w:rPr>
        <w:t>yhlásenia o zhode;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odkazy na všetky príslušné použité harmonizované normy alebo akékoľvek iné spoločné špecifikácie, v súvislosti s ktorými sa vyhlasuje zhoda;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v náležitom prípade meno a identifikačné číslo notifikovanej osoby, opis použitého postupu posud</w:t>
      </w:r>
      <w:r>
        <w:rPr>
          <w:noProof/>
        </w:rPr>
        <w:t>zovania zhody a identifikácia vydaného certifikátu;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miesto a dátum vydania vyhlásenia, meno a funkcia osoby, ktorá ho podpísala, ako aj informácia o tom, pre koho a v mene koho daná osoba vyhlásenie podpísala, a podpis.</w:t>
      </w:r>
    </w:p>
    <w:p w:rsidR="005075EA" w:rsidRDefault="005075EA">
      <w:pPr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VI </w:t>
      </w:r>
      <w:r>
        <w:rPr>
          <w:noProof/>
        </w:rPr>
        <w:br/>
        <w:t>POSTUP</w:t>
      </w:r>
      <w:r>
        <w:rPr>
          <w:noProof/>
        </w:rPr>
        <w:t xml:space="preserve"> POSUDZOVANIA ZHODY NA ZÁKLADE VNÚTORNEJ KONTROLY</w:t>
      </w:r>
    </w:p>
    <w:p w:rsidR="005075EA" w:rsidRDefault="006E78D4">
      <w:pPr>
        <w:pStyle w:val="NumPar1"/>
        <w:numPr>
          <w:ilvl w:val="0"/>
          <w:numId w:val="16"/>
        </w:numPr>
        <w:rPr>
          <w:noProof/>
        </w:rPr>
      </w:pPr>
      <w:r>
        <w:rPr>
          <w:noProof/>
        </w:rPr>
        <w:t>Postup posudzovania zhody založený na vnútornej kontrole je postup posudzovania zhody založený na bodoch 2 až 4.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Poskytovateľ overí, či je zavedený systém riadenia kvality v súlade s požiadavkami článku 17.</w:t>
      </w:r>
      <w:r>
        <w:rPr>
          <w:noProof/>
        </w:rPr>
        <w:t xml:space="preserve"> 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Poskytovateľ preskúma informácie obsiahnuté v technickej dokumentácii s cieľom posúdiť súlad systému umelej inteligencie s príslušnými základnými požiadavkami stanovenými v hlave III kapitole 2.</w:t>
      </w:r>
    </w:p>
    <w:p w:rsidR="005075EA" w:rsidRDefault="006E78D4"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Poskytovateľ takisto overí, či je proces koncipovania a výv</w:t>
      </w:r>
      <w:r>
        <w:rPr>
          <w:noProof/>
        </w:rPr>
        <w:t>oja systému umelej inteligencie a jeho monitorovanie po uvedení na trh v zmysle článku 61 v súlade s technickou dokumentáciou.</w:t>
      </w:r>
    </w:p>
    <w:p w:rsidR="005075EA" w:rsidRDefault="005075EA">
      <w:pPr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VII </w:t>
      </w:r>
      <w:r>
        <w:rPr>
          <w:noProof/>
        </w:rPr>
        <w:br/>
        <w:t>ZHODA ZALOŽENÁ NA POSÚDENÍ SYSTÉMU RIADENIA KVALITY A NA POSÚDENÍ TECHNICKEJ DOKUMENTÁCIE</w:t>
      </w:r>
    </w:p>
    <w:p w:rsidR="005075EA" w:rsidRDefault="006E78D4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Úvod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>Zho</w:t>
      </w:r>
      <w:r>
        <w:rPr>
          <w:noProof/>
        </w:rPr>
        <w:t xml:space="preserve">da založená na posúdení systému riadenia kvality a na posúdení technickej dokumentácie je postup posudzovania zhody založený na bodoch 2 až 5. 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Prehľad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>Schválený systém riadenia kvality pre koncipovanie, vývoj a testovanie systémov umelej inteligencie podľ</w:t>
      </w:r>
      <w:r>
        <w:rPr>
          <w:noProof/>
        </w:rPr>
        <w:t>a článku 17 sa preskúma v súlade s bodom 3 a podlieha dohľadu v zmysle bodu 5. Technická dokumentácia systému umelej inteligencie sa preskúma v súlade s bodom 4.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Systém riadenia kvality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Žiadosť poskytovateľa obsahuje: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meno a adresu poskytovateľa, a ak ž</w:t>
      </w:r>
      <w:r>
        <w:rPr>
          <w:noProof/>
        </w:rPr>
        <w:t>iadosť podáva jeho splnomocnený zástupca, aj jeho meno a adresu;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zoznam systémov umelej inteligencie, na ktoré sa vzťahuje ten istý systém riadenia kvality;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technickú dokumentáciu pre každý systém umelej inteligencie, na ktorý sa vzťahuje ten istý sy</w:t>
      </w:r>
      <w:r>
        <w:rPr>
          <w:noProof/>
        </w:rPr>
        <w:t>stém riadenia kvality;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dokumentáciu týkajúcu sa systému riadenia kvality, ktorá zahŕňa všetky aspekty uvedené v článku 17;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opis zavedených postupov na zabezpečenie zachovania primeranosti a účinnosti systému riadenia kvality;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písomné vyhlásenie, ž</w:t>
      </w:r>
      <w:r>
        <w:rPr>
          <w:noProof/>
        </w:rPr>
        <w:t>e tá istá žiadosť nebola podaná inej notifikovanej osobe.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Systém riadenia kvality posudzuje notifikovaná osoba, ktorá určí, či systém spĺňa požiadavky uvedené v článku 17.</w:t>
      </w:r>
    </w:p>
    <w:p w:rsidR="005075EA" w:rsidRDefault="006E78D4">
      <w:pPr>
        <w:pStyle w:val="Text1"/>
        <w:rPr>
          <w:noProof/>
        </w:rPr>
      </w:pPr>
      <w:r>
        <w:rPr>
          <w:noProof/>
        </w:rPr>
        <w:t>Rozhodnutie sa oznámi poskytovateľovi alebo jeho splnomocnenému zástupcovi.</w:t>
      </w:r>
    </w:p>
    <w:p w:rsidR="005075EA" w:rsidRDefault="006E78D4">
      <w:pPr>
        <w:pStyle w:val="Text1"/>
        <w:rPr>
          <w:noProof/>
        </w:rPr>
      </w:pPr>
      <w:r>
        <w:rPr>
          <w:noProof/>
        </w:rPr>
        <w:t>Oznámenie musí obsahovať závery posúdenia systému riadenia kvality a odôvodnené rozhodnutie o posúdení.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Schválený systém riadenia kvality musí poskytovateľ naďalej uplatňovať a udržiavať tak, aby bol aj naďalej primeraný a účinný.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Poskytovateľ informuje no</w:t>
      </w:r>
      <w:r>
        <w:rPr>
          <w:noProof/>
        </w:rPr>
        <w:t>tifikovanú osobu o každej zamýšľanej zmene schváleného systému riadenia kvality alebo zmene zoznamu systémov umelej inteligencie, na ktoré sa tento systém vzťahuje.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>Notifikovaná osoba navrhované zmeny preskúma a rozhodne, či zmenený systém riadenia kvality</w:t>
      </w:r>
      <w:r>
        <w:rPr>
          <w:noProof/>
        </w:rPr>
        <w:t xml:space="preserve"> naďalej spĺňa požiadavky uvedené v bode 3.2, alebo či je potrebné opätovné posúdenie.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>Notifikovaná osoba oznámi svoje rozhodnutie poskytovateľovi. Oznámenie musí obsahovať závery preskúmania zmien a odôvodnené rozhodnutie o posúdení.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Kontrola technickej d</w:t>
      </w:r>
      <w:r>
        <w:rPr>
          <w:noProof/>
        </w:rPr>
        <w:t>okumentácie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lastRenderedPageBreak/>
        <w:t xml:space="preserve">Okrem žiadosti uvedenej v bode 3 poskytovateľ predkladá notifikovanej osobe podľa svojho výberu žiadosť o posúdenie technickej dokumentácie vzťahujúcej sa na systém umelej inteligencie, ktorý plánuje uviesť na trh alebo do prevádzky a na ktorý </w:t>
      </w:r>
      <w:r>
        <w:rPr>
          <w:noProof/>
        </w:rPr>
        <w:t>sa vzťahuje systém riadenia kvality uvedený v bode 3.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Žiadosť musí obsahovať: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meno a adresu poskytovateľa;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písomné vyhlásenie, že tá istá žiadosť nebola podaná inej notifikovanej osobe;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technickú dokumentáciu uvedenú v prílohe IV.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 xml:space="preserve">Notifikovaná </w:t>
      </w:r>
      <w:r>
        <w:rPr>
          <w:noProof/>
        </w:rPr>
        <w:t xml:space="preserve">osoba technickú dokumentáciu preskúma. Na tento účel sa notifikovanej osobe poskytne úplný prístup k súborom údajov o trénovaní a testovaní, ktoré používa poskytovateľ, a to aj prostredníctvom aplikačných programovacích rozhraní (API) alebo iných vhodných </w:t>
      </w:r>
      <w:r>
        <w:rPr>
          <w:noProof/>
        </w:rPr>
        <w:t>prostriedkov a nástrojov umožňujúcich diaľkový prístup.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Pri skúmaní technickej dokumentácie môže notifikovaná osoba požadovať, aby poskytovateľ predložil ďalšie dôkazy alebo vykonal ďalšie testy s cieľom umožniť riadne posúdenie zhody systému umelej inteli</w:t>
      </w:r>
      <w:r>
        <w:rPr>
          <w:noProof/>
        </w:rPr>
        <w:t xml:space="preserve">gencie s požiadavkami stanovenými v hlave III kapitole 2. Ak notifikovaná osoba nie je s testmi, ktoré vykonal poskytovateľ, spokojná, zodpovedajúce testy vykoná v prípade potreby priamo notifikovaná osoba. 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Ak je to potrebné na posúdenie zhody vysokorizik</w:t>
      </w:r>
      <w:r>
        <w:rPr>
          <w:noProof/>
        </w:rPr>
        <w:t>ového systému umelej inteligencie s požiadavkami stanovenými v hlave III kapitole 2 a na základe odôvodnenej žiadosti sa notifikovanej osobe udelí prístup aj k zdrojovému kódu systému umelej inteligencie.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Rozhodnutie sa oznámi poskytovateľovi alebo jeho sp</w:t>
      </w:r>
      <w:r>
        <w:rPr>
          <w:noProof/>
        </w:rPr>
        <w:t>lnomocnenému zástupcovi. Oznámenie musí obsahovať závery posúdenia technickej dokumentácie a odôvodnené rozhodnutie o posúdení.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 xml:space="preserve">Ak je systém umelej inteligencie v súlade s požiadavkami stanovenými v hlave III kapitole 2, notifikovaná osoba vydá certifikát </w:t>
      </w:r>
      <w:r>
        <w:rPr>
          <w:noProof/>
        </w:rPr>
        <w:t>EÚ o posúdení technickej dokumentácie. V certifikáte sa uvádza meno a adresa poskytovateľa, závery preskúmania, podmienky jeho platnosti (ak existujú) a potrebné údaje na identifikáciu systému umelej inteligencie.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 xml:space="preserve">Certifikát a jeho prílohy obsahujú všetky </w:t>
      </w:r>
      <w:r>
        <w:rPr>
          <w:noProof/>
        </w:rPr>
        <w:t>relevantné informácie, ktoré umožňujú vyhodnotiť zhodu systému umelej inteligencie a v prípade potreby kontrolu systému umelej inteligencie počas používania.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>Ak systém umelej inteligencie nie je v zhode s požiadavkami stanovenými v hlave III kapitole 2, no</w:t>
      </w:r>
      <w:r>
        <w:rPr>
          <w:noProof/>
        </w:rPr>
        <w:t>tifikovaná osoba odmietne vydať certifikát EÚ o posúdení technickej dokumentácie a následne o tom informuje žiadateľa, pričom uvedie podrobné dôvody svojho odmietnutia.</w:t>
      </w:r>
    </w:p>
    <w:p w:rsidR="005075EA" w:rsidRDefault="006E78D4">
      <w:pPr>
        <w:pStyle w:val="Text1"/>
        <w:ind w:left="851"/>
        <w:rPr>
          <w:noProof/>
        </w:rPr>
      </w:pPr>
      <w:r>
        <w:rPr>
          <w:noProof/>
        </w:rPr>
        <w:t>Ak systém umelej inteligencie nespĺňa požiadavku týkajúcu sa údajov použitých na jeho t</w:t>
      </w:r>
      <w:r>
        <w:rPr>
          <w:noProof/>
        </w:rPr>
        <w:t>rénovanie, pred podaním žiadosti o nové posúdenie zhody bude potrebné opätovné trénovanie systému umelej inteligencie. V tomto prípade musí odôvodnené rozhodnutie notifikovanej osoby o posúdení, ktorým sa zamieta vydanie certifikátu EÚ o posúdení technicke</w:t>
      </w:r>
      <w:r>
        <w:rPr>
          <w:noProof/>
        </w:rPr>
        <w:t>j dokumentácie, obsahovať konkrétne vyjadrenia o kvalite údajov použitých na trénovanie systému umelej inteligencie, najmä o dôvodoch nesúladu.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lastRenderedPageBreak/>
        <w:t>Každú zmenu systému umelej inteligencie, ktorá by mohla ovplyvniť súlad systému umelej inteligencie s požiadavka</w:t>
      </w:r>
      <w:r>
        <w:rPr>
          <w:noProof/>
        </w:rPr>
        <w:t>mi alebo jeho zamýšľaným účelom, schvaľuje notifikovaná osoba, ktorá vydala certifikát EÚ o posúdení technickej dokumentácie. Poskytovateľ musí takýto notifikovaný orgán informovať o svojom zámere zaviesť ktorúkoľvek z uvedených zmien, alebo ak sa o výskyt</w:t>
      </w:r>
      <w:r>
        <w:rPr>
          <w:noProof/>
        </w:rPr>
        <w:t>e takýchto zmien dozvedel inak. Plánované zmeny posudzuje notifikovaná osoba, ktorá rozhoduje, či si tieto zmeny vyžadujú nové posúdenie zhody v súlade s článkom 43 ods. 4, alebo či by sa na ne mohol vzťahovať dodatok k certifikátu EÚ o posúdení technickej</w:t>
      </w:r>
      <w:r>
        <w:rPr>
          <w:noProof/>
        </w:rPr>
        <w:t xml:space="preserve"> dokumentácie. V druhom prípade notifikovaná osoba tieto zmeny preskúma, svoje rozhodnutie oznámi poskytovateľovi a v prípade schválenia zmien mu vydá dodatok k certifikátu EÚ o posúdení technickej dokumentácie.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Dohľad nad schváleným systémom riadenia kval</w:t>
      </w:r>
      <w:r>
        <w:rPr>
          <w:noProof/>
        </w:rPr>
        <w:t>ity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Účelom dohľadu vykonávaného notifikovanou osobou v zmysle bodu 3 je zabezpečiť, aby poskytovateľ riadne spĺňal podmienky schváleného systému riadenia kvality.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Na účely posúdenia musí poskytovateľ umožniť notifikovanej osobe prístup do priestorov, v kto</w:t>
      </w:r>
      <w:r>
        <w:rPr>
          <w:noProof/>
        </w:rPr>
        <w:t>rých sa uskutočňuje koncipovanie, vývoj a testovanie systémov umelej inteligencie. Poskytovateľ ďalej musí notifikovanej osobe poskytovať všetky potrebné informácie.</w:t>
      </w:r>
    </w:p>
    <w:p w:rsidR="005075EA" w:rsidRDefault="006E78D4">
      <w:pPr>
        <w:pStyle w:val="NumPar2"/>
        <w:rPr>
          <w:noProof/>
        </w:rPr>
      </w:pPr>
      <w:r>
        <w:rPr>
          <w:noProof/>
        </w:rPr>
        <w:t>Notifikovaná osoba vykonáva pravidelné audity s cieľom zabezpečiť, aby poskytovateľ zachov</w:t>
      </w:r>
      <w:r>
        <w:rPr>
          <w:noProof/>
        </w:rPr>
        <w:t>ával a uplatňoval systém riadenia kvality, a poskytovateľovi predkladá správu o audite. V rámci týchto auditov môže notifikovaná osoba vykonať dodatočné testy systémov umelej inteligencie, pre ktoré bol vydaný certifikát EÚ o posúdení technickej dokumentác</w:t>
      </w:r>
      <w:r>
        <w:rPr>
          <w:noProof/>
        </w:rPr>
        <w:t>ie.</w:t>
      </w:r>
    </w:p>
    <w:p w:rsidR="005075EA" w:rsidRDefault="005075EA">
      <w:pPr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noProof/>
        </w:rPr>
      </w:pPr>
      <w:r>
        <w:rPr>
          <w:noProof/>
        </w:rPr>
        <w:lastRenderedPageBreak/>
        <w:t xml:space="preserve">PRÍLOHA VIII </w:t>
      </w:r>
      <w:r>
        <w:rPr>
          <w:noProof/>
        </w:rPr>
        <w:br/>
        <w:t>INFORMÁCIE, KTORÉ SA MAJÚ PREDLOŽIŤ PRI REGISTRÁCII VYSOKORIZIKOVÝCH SYSTÉMOV UMELEJ INTELIGENCIE V SÚLADE S ČLÁNKOM 51</w:t>
      </w:r>
    </w:p>
    <w:p w:rsidR="005075EA" w:rsidRDefault="006E78D4">
      <w:pPr>
        <w:rPr>
          <w:noProof/>
        </w:rPr>
      </w:pPr>
      <w:r>
        <w:rPr>
          <w:noProof/>
        </w:rPr>
        <w:t xml:space="preserve">V súvislosti s vysokorizikovými systémami umelej inteligencie, ktoré sa majú registrovať v súlade s </w:t>
      </w:r>
      <w:r>
        <w:rPr>
          <w:noProof/>
        </w:rPr>
        <w:t>článkom 51, sa musia poskytnúť a následne aktualizovať tieto informácie:</w:t>
      </w:r>
    </w:p>
    <w:p w:rsidR="005075EA" w:rsidRDefault="006E78D4">
      <w:pPr>
        <w:pStyle w:val="NumPar1"/>
        <w:numPr>
          <w:ilvl w:val="0"/>
          <w:numId w:val="17"/>
        </w:numPr>
        <w:rPr>
          <w:noProof/>
        </w:rPr>
      </w:pPr>
      <w:r>
        <w:rPr>
          <w:noProof/>
        </w:rPr>
        <w:t>meno, adresa a ďalšie kontaktné údaje poskytovateľa;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v prípade, že informácie za poskytovateľa predkladá iná osoba, meno, adresa a kontaktné údaje danej osoby;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v náležitom prípade men</w:t>
      </w:r>
      <w:r>
        <w:rPr>
          <w:noProof/>
        </w:rPr>
        <w:t>o, adresa a kontaktné údaje splnomocneného zástupcu;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obchodné meno systému umelej inteligencie a akýkoľvek ďalší jednoznačný odkaz umožňujúci identifikáciu a vysledovateľnosť daného systému umelej inteligencie;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opis zamýšľaného účelu systému umelej intelig</w:t>
      </w:r>
      <w:r>
        <w:rPr>
          <w:noProof/>
        </w:rPr>
        <w:t>encie;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status systému umelej inteligencie (na trhu alebo v prevádzke; už nie je na trhu/v prevádzke, stiahnutý z používania);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typ, číslo a dátum skončenia platnosti certifikátu vydaného notifikovanou osobou a prípadne meno alebo identifikačné číslo tejto n</w:t>
      </w:r>
      <w:r>
        <w:rPr>
          <w:noProof/>
        </w:rPr>
        <w:t>otifikovanej osoby;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v náležitom prípade naskenovaná kópia certifikátu uvedeného v bode 7;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členské štáty, v ktorých je alebo bol systém umelej inteligencie uvedený na trh, uvedený do prevádzky alebo sprístupnený v Únii;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kópia EÚ vyhlásenia o zhode uvedeného</w:t>
      </w:r>
      <w:r>
        <w:rPr>
          <w:noProof/>
        </w:rPr>
        <w:t xml:space="preserve"> v článku 48;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elektronické pokyny na použitie; tieto informácie sa neposkytujú v prípade vysokorizikových systémov umelej inteligencie v oblastiach presadzovania práva a migrácie, azylu a riadenia kontroly hraníc v zmysle bodov 1, 6 a 7 prílohy III;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URL pr</w:t>
      </w:r>
      <w:r>
        <w:rPr>
          <w:noProof/>
        </w:rPr>
        <w:t>e doplňujúce informácie (nepovinné).</w:t>
      </w:r>
    </w:p>
    <w:p w:rsidR="005075EA" w:rsidRDefault="005075EA">
      <w:pPr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6E78D4">
      <w:pPr>
        <w:pStyle w:val="Annexetitre"/>
        <w:rPr>
          <w:caps/>
          <w:noProof/>
        </w:rPr>
      </w:pPr>
      <w:r>
        <w:rPr>
          <w:noProof/>
        </w:rPr>
        <w:lastRenderedPageBreak/>
        <w:t xml:space="preserve">PRÍLOHA IX </w:t>
      </w:r>
      <w:r>
        <w:rPr>
          <w:noProof/>
        </w:rPr>
        <w:br/>
      </w:r>
      <w:r>
        <w:rPr>
          <w:caps/>
          <w:noProof/>
        </w:rPr>
        <w:t>Právne predpisy Únie o rozsiahlych informačných systémoch v priestore slobody, bezpečnosti a spravodlivosti</w:t>
      </w:r>
    </w:p>
    <w:p w:rsidR="005075EA" w:rsidRDefault="006E78D4"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Schengenský informačný systém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nariadenie Európskeho parlamentu a Rady (EÚ) 201</w:t>
      </w:r>
      <w:r>
        <w:rPr>
          <w:noProof/>
        </w:rPr>
        <w:t>8/1860 z 28. novembra 2018 o využívaní Schengenského informačného systému na účely návratu neoprávnene sa zdržiavajúcich štátnych príslušníkov tretích krajín (Ú. v. EÚ L 312, 7.12.2018, s. 1);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nariadenie Európskeho parlamentu a Rady (EÚ) 2018/1861 z 28.</w:t>
      </w:r>
      <w:r>
        <w:rPr>
          <w:noProof/>
        </w:rPr>
        <w:t> novembra 2018 o zriadení, prevádzke a využívaní Schengenského informačného systému (SIS) v oblasti hraničných kontrol, o zmene Dohovoru, ktorým sa vykonáva Schengenská dohoda, a o zmene a zrušení nariadenia (ES) č. 1987/2006 (Ú. v. EÚ L 312, 7.12.2018, s.</w:t>
      </w:r>
      <w:r>
        <w:rPr>
          <w:noProof/>
        </w:rPr>
        <w:t> 14);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nariadenie Európskeho parlamentu a Rady (EÚ) 2018/1862 z 28. novembra 2018 o zriadení, prevádzke a využívaní Schengenského informačného systému (SIS) v oblasti policajnej spolupráce a justičnej spolupráce v trestných veciach, o zmene a zrušení roz</w:t>
      </w:r>
      <w:r>
        <w:rPr>
          <w:noProof/>
        </w:rPr>
        <w:t>hodnutia Rady 2007/533/SVV a o zrušení nariadenia Európskeho parlamentu a Rady (ES) č. 1986/2006 a rozhodnutia Komisie 2010/261/EÚ (Ú. v. EÚ L 312, 7.12.2018, s. 56).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Vízový informačný systém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návrh NARIADENIA EURÓPSKEHO PARLAMENTU A RADY, ktorým sa mení</w:t>
      </w:r>
      <w:r>
        <w:rPr>
          <w:noProof/>
        </w:rPr>
        <w:t xml:space="preserve"> nariadenie (ES) č. 767/2008, nariadenie (ES) č. 810/2009, nariadenie (EÚ) 2017/2226, nariadenie (EÚ) 2016/399, nariadenie XX/2018 [nariadenie o interoperabilite] a rozhodnutie 2004/512/ES a zrušuje rozhodnutie Rady 2008/633/SVV – COM(2018) 302 final. Aktu</w:t>
      </w:r>
      <w:r>
        <w:rPr>
          <w:noProof/>
        </w:rPr>
        <w:t>alizovať po prijatí nariadenia spoluzákonodarcami (apríl/máj 2021).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Eurodac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zmenený návrh NARIADENIA EURÓPSKEHO PARLAMENTU A RADY o zriadení systému Eurodac na porovnávanie biometrických údajov pre účinné uplatňovanie nariadenia (EÚ) XXX/XXX [nariadenie</w:t>
      </w:r>
      <w:r>
        <w:rPr>
          <w:noProof/>
        </w:rPr>
        <w:t xml:space="preserve"> o riadení azylu a migrácie] a nariadenia (EÚ) XXX/XXX [nariadenie o presídlení], na zistenie totožnosti neoprávnene sa zdržiavajúcich štátnych príslušníkov tretích krajín alebo osôb bez štátnej príslušnosti a o žiadostiach orgánov členských štátov na pres</w:t>
      </w:r>
      <w:r>
        <w:rPr>
          <w:noProof/>
        </w:rPr>
        <w:t xml:space="preserve">adzovanie práva a Europolu o porovnanie s údajmi v systéme Eurodac na účely presadzovania práva a o zmene nariadení (EÚ) 2018/1240 a (EÚ) 2019/818 – COM(2020) 614 final. 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Systém vstup/výstup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nariadenie Európskeho parlamentu a Rady (EÚ) 2017/2226 z 30. n</w:t>
      </w:r>
      <w:r>
        <w:rPr>
          <w:noProof/>
        </w:rPr>
        <w:t>ovembra 2017, ktorým sa zriaďuje systém vstup/výstup na zaznamenávanie údajov o vstupe a výstupe štátnych príslušníkov tretích krajín prekračujúcich vonkajšie hranice členských štátov a o odopretí ich vstupu a stanovujú podmienky prístupu do systému vstup/</w:t>
      </w:r>
      <w:r>
        <w:rPr>
          <w:noProof/>
        </w:rPr>
        <w:t>výstup na účely presadzovania práva, a ktorým sa mení Dohovor, ktorým sa vykonáva Schengenská dohoda, a nariadenia (ES) č. 767/2008 a (EÚ) č. 1077/2011 (Ú. v. EÚ L 327, 9.12.2017, s. 20).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Európsky systém pre cestovné informácie a povolenia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  <w:t>nariadenie Eu</w:t>
      </w:r>
      <w:r>
        <w:rPr>
          <w:noProof/>
        </w:rPr>
        <w:t xml:space="preserve">rópskeho parlamentu a Rady (EÚ) 2018/1240 z 12. septembra 2018, ktorým sa zriaďuje Európsky systém pre cestovné informácie a povolenia (ETIAS) a ktorým sa menia nariadenia (EÚ) č. 1077/2011, (EÚ) č. 515/2014, (EÚ) 2016/399, (EÚ) 2016/1624 a (EÚ) 2017/2226 </w:t>
      </w:r>
      <w:r>
        <w:rPr>
          <w:noProof/>
        </w:rPr>
        <w:t xml:space="preserve">(Ú. v. EÚ L 236, 19.9.2018, s. 1); 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nariadenie Európskeho parlamentu a Rady (EÚ) 2018/1241 z 12. septembra 2018, ktorým sa mení nariadenie (EÚ) 2016/794 na účely zriadenia Európskeho systému cestovných informácií a povolení (ETIAS) (Ú. v. EÚ L 236, </w:t>
      </w:r>
      <w:r>
        <w:rPr>
          <w:noProof/>
        </w:rPr>
        <w:t>19.9.2018, s. 72).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>Európsky informačný systém registrov trestov pre štátnych príslušníkov tretích krajín a osoby bez štátnej príslušnosti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>nariadenie Európskeho parlamentu a Rady (EÚ) 2019/816 zo 17. apríla 2019, ktorým sa zriaďuje centralizovaný systém na identifikáciu členských štátov, ktoré majú informácie o odsúdeniach štátnych príslušníkov tretích krajín a osôb bez štátnej príslušnosti (</w:t>
      </w:r>
      <w:r>
        <w:rPr>
          <w:noProof/>
        </w:rPr>
        <w:t xml:space="preserve">ECRIS-TCN), s cieľom doplniť Európsky informačný systém registrov trestov, a ktorým sa mení nariadenie (EÚ) 2018/1726 (Ú. v. EÚ L 135, 22.5.2019, s. 1). </w:t>
      </w:r>
    </w:p>
    <w:p w:rsidR="005075EA" w:rsidRDefault="006E78D4">
      <w:pPr>
        <w:pStyle w:val="NumPar1"/>
        <w:rPr>
          <w:noProof/>
        </w:rPr>
      </w:pPr>
      <w:r>
        <w:rPr>
          <w:noProof/>
        </w:rPr>
        <w:t xml:space="preserve">Interoperabilita 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nariadenie Európskeho parlamentu a Rady (EÚ) 2019/817 z 20. mája 2019 o stanovení</w:t>
      </w:r>
      <w:r>
        <w:rPr>
          <w:noProof/>
        </w:rPr>
        <w:t xml:space="preserve"> rámca pre interoperabilitu medzi informačnými systémami EÚ v oblasti hraníc a víz (Ú. v. EÚ L 135, 22.5.2019, s. 27);</w:t>
      </w:r>
    </w:p>
    <w:p w:rsidR="005075EA" w:rsidRDefault="006E78D4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nariadenie Európskeho parlamentu a Rady (EÚ) 2019/818 z 20. mája 2019 o stanovení rámca pre interoperabilitu medzi informačnými systém</w:t>
      </w:r>
      <w:r>
        <w:rPr>
          <w:noProof/>
        </w:rPr>
        <w:t>ami EÚ v oblasti policajnej a justičnej spolupráce, azylu a migrácie (Ú. v. EÚ L 135, 22.5.2019, s. 85).</w:t>
      </w:r>
    </w:p>
    <w:p w:rsidR="005075EA" w:rsidRDefault="005075EA">
      <w:pPr>
        <w:pStyle w:val="Point1"/>
        <w:rPr>
          <w:noProof/>
        </w:rPr>
        <w:sectPr w:rsidR="005075EA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075EA" w:rsidRDefault="005075EA">
      <w:pPr>
        <w:rPr>
          <w:noProof/>
          <w:lang w:eastAsia="en-GB"/>
        </w:rPr>
      </w:pPr>
    </w:p>
    <w:sectPr w:rsidR="005075EA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D4" w:rsidRDefault="006E78D4">
      <w:pPr>
        <w:spacing w:before="0" w:after="0"/>
      </w:pPr>
      <w:r>
        <w:separator/>
      </w:r>
    </w:p>
  </w:endnote>
  <w:endnote w:type="continuationSeparator" w:id="0">
    <w:p w:rsidR="006E78D4" w:rsidRDefault="006E78D4">
      <w:pPr>
        <w:spacing w:before="0" w:after="0"/>
      </w:pPr>
      <w:r>
        <w:continuationSeparator/>
      </w:r>
    </w:p>
  </w:endnote>
  <w:endnote w:type="continuationNotice" w:id="1">
    <w:p w:rsidR="006E78D4" w:rsidRDefault="006E78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5075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6E78D4">
    <w:pPr>
      <w:pStyle w:val="Pt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5075EA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6E78D4">
    <w:pPr>
      <w:pStyle w:val="Pt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5181F">
      <w:rPr>
        <w:noProof/>
      </w:rPr>
      <w:t>16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5075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D4" w:rsidRDefault="006E78D4">
      <w:pPr>
        <w:spacing w:before="0" w:after="0"/>
      </w:pPr>
      <w:r>
        <w:separator/>
      </w:r>
    </w:p>
  </w:footnote>
  <w:footnote w:type="continuationSeparator" w:id="0">
    <w:p w:rsidR="006E78D4" w:rsidRDefault="006E78D4">
      <w:pPr>
        <w:spacing w:before="0" w:after="0"/>
      </w:pPr>
      <w:r>
        <w:continuationSeparator/>
      </w:r>
    </w:p>
  </w:footnote>
  <w:footnote w:type="continuationNotice" w:id="1">
    <w:p w:rsidR="006E78D4" w:rsidRDefault="006E78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5075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5075E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EA" w:rsidRDefault="005075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C4CCCD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280441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148A6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423EB59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360BFA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5F213C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0B072B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0CE450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21"/>
  </w:num>
  <w:num w:numId="21">
    <w:abstractNumId w:val="11"/>
  </w:num>
  <w:num w:numId="22">
    <w:abstractNumId w:val="13"/>
  </w:num>
  <w:num w:numId="23">
    <w:abstractNumId w:val="9"/>
  </w:num>
  <w:num w:numId="24">
    <w:abstractNumId w:val="20"/>
  </w:num>
  <w:num w:numId="25">
    <w:abstractNumId w:val="8"/>
  </w:num>
  <w:num w:numId="26">
    <w:abstractNumId w:val="15"/>
  </w:num>
  <w:num w:numId="27">
    <w:abstractNumId w:val="17"/>
  </w:num>
  <w:num w:numId="28">
    <w:abstractNumId w:val="18"/>
  </w:num>
  <w:num w:numId="29">
    <w:abstractNumId w:val="10"/>
  </w:num>
  <w:num w:numId="30">
    <w:abstractNumId w:val="16"/>
  </w:num>
  <w:num w:numId="31">
    <w:abstractNumId w:val="2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2"/>
  </w:num>
  <w:num w:numId="35">
    <w:abstractNumId w:val="21"/>
  </w:num>
  <w:num w:numId="36">
    <w:abstractNumId w:val="11"/>
  </w:num>
  <w:num w:numId="37">
    <w:abstractNumId w:val="13"/>
  </w:num>
  <w:num w:numId="38">
    <w:abstractNumId w:val="14"/>
  </w:num>
  <w:num w:numId="39">
    <w:abstractNumId w:val="9"/>
  </w:num>
  <w:num w:numId="40">
    <w:abstractNumId w:val="20"/>
  </w:num>
  <w:num w:numId="41">
    <w:abstractNumId w:val="8"/>
  </w:num>
  <w:num w:numId="42">
    <w:abstractNumId w:val="15"/>
  </w:num>
  <w:num w:numId="43">
    <w:abstractNumId w:val="17"/>
  </w:num>
  <w:num w:numId="44">
    <w:abstractNumId w:val="18"/>
  </w:num>
  <w:num w:numId="45">
    <w:abstractNumId w:val="10"/>
  </w:num>
  <w:num w:numId="46">
    <w:abstractNumId w:val="16"/>
  </w:num>
  <w:num w:numId="4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R_RefLast" w:val="0"/>
    <w:docVar w:name="DQCDateTime" w:val="2021-06-07 09:28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9"/>
    <w:docVar w:name="LW_ANNEX_UNIQUE" w:val="0"/>
    <w:docVar w:name="LW_CORRIGENDUM" w:val="&lt;UNUSED&gt;"/>
    <w:docVar w:name="LW_COVERPAGE_EXISTS" w:val="True"/>
    <w:docVar w:name="LW_COVERPAGE_GUID" w:val="10E536B0-3821-4D73-A8A5-9F0218036186"/>
    <w:docVar w:name="LW_COVERPAGE_TYPE" w:val="1"/>
    <w:docVar w:name="LW_CROSSREFERENCE" w:val="{SEC(2021) 167 final} - {SWD(2021) 84 final} - {SWD(2021) 85 final}"/>
    <w:docVar w:name="LW_DocType" w:val="ANNEX"/>
    <w:docVar w:name="LW_EMISSION" w:val="21. 4. 2021"/>
    <w:docVar w:name="LW_EMISSION_ISODATE" w:val="2021-04-21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stanovujú harmonizované pravidlá v oblasti umelej inteligencie (akt o umelej inteligencii) a menia niektoré legislatívne akty Únie_x000d__x000d__x000d__x000b__x000d__x000d__x000d__x000d__x000b_"/>
    <w:docVar w:name="LW_OBJETACTEPRINCIPAL.CP" w:val="ktorým sa stanovujú harmonizované pravidlá v oblasti umelej inteligencie (akt o umelej inteligencii) a menia niektoré legislatívne akty Únie_x000d__x000d__x000d__x000b_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1) 2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ÍLOHY"/>
    <w:docVar w:name="LW_TYPE.DOC.CP" w:val="PRÍLOHY"/>
    <w:docVar w:name="LW_TYPEACTEPRINCIPAL" w:val="návrhu nariadenia Európskeho parlamentu a Rady,"/>
    <w:docVar w:name="LW_TYPEACTEPRINCIPAL.CP" w:val="návrhu nariadenia Európskeho parlamentu a Rady,"/>
    <w:docVar w:name="LwApiVersions" w:val="LW4CoDe 1.23.0.0; LW 8.0, Build 20210114"/>
  </w:docVars>
  <w:rsids>
    <w:rsidRoot w:val="005075EA"/>
    <w:rsid w:val="005075EA"/>
    <w:rsid w:val="006E78D4"/>
    <w:rsid w:val="009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Nadpis1">
    <w:name w:val="heading 1"/>
    <w:basedOn w:val="Normlny"/>
    <w:next w:val="Text1"/>
    <w:link w:val="Nadpis1Char"/>
    <w:uiPriority w:val="9"/>
    <w:qFormat/>
    <w:pPr>
      <w:keepNext/>
      <w:numPr>
        <w:numId w:val="4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dpis2">
    <w:name w:val="heading 2"/>
    <w:basedOn w:val="Normlny"/>
    <w:next w:val="Text1"/>
    <w:link w:val="Nadpis2Char"/>
    <w:uiPriority w:val="9"/>
    <w:semiHidden/>
    <w:unhideWhenUsed/>
    <w:qFormat/>
    <w:pPr>
      <w:keepNext/>
      <w:numPr>
        <w:ilvl w:val="1"/>
        <w:numId w:val="40"/>
      </w:numPr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pPr>
      <w:keepNext/>
      <w:numPr>
        <w:ilvl w:val="2"/>
        <w:numId w:val="40"/>
      </w:numPr>
      <w:outlineLvl w:val="2"/>
    </w:pPr>
    <w:rPr>
      <w:rFonts w:eastAsiaTheme="majorEastAsia"/>
      <w:bCs/>
      <w:i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pPr>
      <w:keepNext/>
      <w:numPr>
        <w:ilvl w:val="3"/>
        <w:numId w:val="40"/>
      </w:numPr>
      <w:outlineLvl w:val="3"/>
    </w:pPr>
    <w:rPr>
      <w:rFonts w:eastAsiaTheme="majorEastAsia"/>
      <w:bCs/>
      <w:iCs/>
    </w:rPr>
  </w:style>
  <w:style w:type="paragraph" w:styleId="Nadpis5">
    <w:name w:val="heading 5"/>
    <w:basedOn w:val="Normlny"/>
    <w:next w:val="Text2"/>
    <w:link w:val="Nadpis5Char"/>
    <w:uiPriority w:val="9"/>
    <w:semiHidden/>
    <w:unhideWhenUsed/>
    <w:qFormat/>
    <w:pPr>
      <w:keepNext/>
      <w:numPr>
        <w:ilvl w:val="4"/>
        <w:numId w:val="40"/>
      </w:numPr>
      <w:outlineLvl w:val="4"/>
    </w:pPr>
    <w:rPr>
      <w:rFonts w:eastAsiaTheme="majorEastAsia"/>
    </w:rPr>
  </w:style>
  <w:style w:type="paragraph" w:styleId="Nadpis6">
    <w:name w:val="heading 6"/>
    <w:basedOn w:val="Normlny"/>
    <w:next w:val="Text2"/>
    <w:link w:val="Nadpis6Char"/>
    <w:uiPriority w:val="9"/>
    <w:semiHidden/>
    <w:unhideWhenUsed/>
    <w:qFormat/>
    <w:pPr>
      <w:keepNext/>
      <w:numPr>
        <w:ilvl w:val="5"/>
        <w:numId w:val="40"/>
      </w:numPr>
      <w:outlineLvl w:val="5"/>
    </w:pPr>
    <w:rPr>
      <w:rFonts w:eastAsiaTheme="majorEastAsia"/>
      <w:iCs/>
    </w:rPr>
  </w:style>
  <w:style w:type="paragraph" w:styleId="Nadpis7">
    <w:name w:val="heading 7"/>
    <w:basedOn w:val="Normlny"/>
    <w:next w:val="Text2"/>
    <w:link w:val="Nadpis7Char"/>
    <w:uiPriority w:val="9"/>
    <w:semiHidden/>
    <w:unhideWhenUsed/>
    <w:qFormat/>
    <w:pPr>
      <w:keepNext/>
      <w:numPr>
        <w:ilvl w:val="6"/>
        <w:numId w:val="40"/>
      </w:numPr>
      <w:outlineLvl w:val="6"/>
    </w:pPr>
    <w:rPr>
      <w:rFonts w:eastAsiaTheme="majorEastAsia"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lista Nivell1,Lista de nivel 1,Lettre d'introduction,Table of contents numbered,Paragraphe de liste PBLH,BULLET 1,List Bulletized,List Paragraph Char Char,1st level - Bullet List Paragraph,Normal bullet 2,Bullet list,Listenabsatz1,L,Nad"/>
    <w:basedOn w:val="Normlny"/>
    <w:link w:val="OdsekzoznamuChar"/>
    <w:uiPriority w:val="34"/>
    <w:qFormat/>
    <w:pPr>
      <w:ind w:left="720"/>
      <w:contextualSpacing/>
    </w:pPr>
  </w:style>
  <w:style w:type="paragraph" w:styleId="Zoznamsodrkami">
    <w:name w:val="List Bullet"/>
    <w:basedOn w:val="Normlny"/>
    <w:uiPriority w:val="99"/>
    <w:semiHidden/>
    <w:unhideWhenUsed/>
    <w:pPr>
      <w:numPr>
        <w:numId w:val="3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pPr>
      <w:numPr>
        <w:numId w:val="6"/>
      </w:numPr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Zoznamobrzkov">
    <w:name w:val="table of figures"/>
    <w:basedOn w:val="Normlny"/>
    <w:next w:val="Normlny"/>
    <w:uiPriority w:val="99"/>
    <w:semiHidden/>
    <w:unhideWhenUsed/>
    <w:pPr>
      <w:spacing w:after="0"/>
    </w:pPr>
  </w:style>
  <w:style w:type="paragraph" w:styleId="slovanzoznam">
    <w:name w:val="List Number"/>
    <w:basedOn w:val="Normlny"/>
    <w:uiPriority w:val="99"/>
    <w:semiHidden/>
    <w:unhideWhenUsed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pPr>
      <w:numPr>
        <w:numId w:val="10"/>
      </w:numPr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customStyle="1" w:styleId="OdsekzoznamuChar">
    <w:name w:val="Odsek zoznamu Char"/>
    <w:aliases w:val="Llista Nivell1 Char,Lista de nivel 1 Char,Lettre d'introduction Char,Table of contents numbered Char,Paragraphe de liste PBLH Char,BULLET 1 Char,List Bulletized Char,List Paragraph Char Char Char,1st level - Bullet List Paragraph Char"/>
    <w:basedOn w:val="Predvolenpsmoodseku"/>
    <w:link w:val="Odsekzoznamu"/>
    <w:uiPriority w:val="34"/>
    <w:qFormat/>
    <w:locked/>
    <w:rPr>
      <w:rFonts w:ascii="Times New Roman" w:hAnsi="Times New Roman" w:cs="Times New Roman"/>
      <w:sz w:val="24"/>
      <w:lang w:val="sk-SK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hAnsi="Times New Roman"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hAnsi="Times New Roman" w:cs="Times New Roman"/>
      <w:sz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Obsah1">
    <w:name w:val="toc 1"/>
    <w:basedOn w:val="Normlny"/>
    <w:next w:val="Norm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2">
    <w:name w:val="toc 2"/>
    <w:basedOn w:val="Normlny"/>
    <w:next w:val="Norm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3">
    <w:name w:val="toc 3"/>
    <w:basedOn w:val="Normlny"/>
    <w:next w:val="Norm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4">
    <w:name w:val="toc 4"/>
    <w:basedOn w:val="Normlny"/>
    <w:next w:val="Norm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5">
    <w:name w:val="toc 5"/>
    <w:basedOn w:val="Normlny"/>
    <w:next w:val="Norm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Obsah6">
    <w:name w:val="toc 6"/>
    <w:basedOn w:val="Normlny"/>
    <w:next w:val="Norm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Obsah7">
    <w:name w:val="toc 7"/>
    <w:basedOn w:val="Normlny"/>
    <w:next w:val="Norm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Obsah8">
    <w:name w:val="toc 8"/>
    <w:basedOn w:val="Normlny"/>
    <w:next w:val="Normlny"/>
    <w:uiPriority w:val="39"/>
    <w:semiHidden/>
    <w:unhideWhenUsed/>
    <w:pPr>
      <w:tabs>
        <w:tab w:val="right" w:leader="dot" w:pos="9071"/>
      </w:tabs>
      <w:jc w:val="left"/>
    </w:pPr>
  </w:style>
  <w:style w:type="paragraph" w:styleId="Obsah9">
    <w:name w:val="toc 9"/>
    <w:basedOn w:val="Normlny"/>
    <w:next w:val="Norm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lny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kaznapoznmkupodiarou">
    <w:name w:val="footnote reference"/>
    <w:basedOn w:val="Predvolenpsmoodseku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lny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lny"/>
    <w:pPr>
      <w:ind w:left="850"/>
    </w:pPr>
  </w:style>
  <w:style w:type="paragraph" w:customStyle="1" w:styleId="Text2">
    <w:name w:val="Text 2"/>
    <w:basedOn w:val="Normlny"/>
    <w:pPr>
      <w:ind w:left="1417"/>
    </w:pPr>
  </w:style>
  <w:style w:type="paragraph" w:customStyle="1" w:styleId="Text3">
    <w:name w:val="Text 3"/>
    <w:basedOn w:val="Normlny"/>
    <w:pPr>
      <w:ind w:left="1984"/>
    </w:pPr>
  </w:style>
  <w:style w:type="paragraph" w:customStyle="1" w:styleId="Text4">
    <w:name w:val="Text 4"/>
    <w:basedOn w:val="Normlny"/>
    <w:pPr>
      <w:ind w:left="2551"/>
    </w:pPr>
  </w:style>
  <w:style w:type="paragraph" w:customStyle="1" w:styleId="Text5">
    <w:name w:val="Text 5"/>
    <w:basedOn w:val="Normlny"/>
    <w:pPr>
      <w:ind w:left="3118"/>
    </w:pPr>
  </w:style>
  <w:style w:type="paragraph" w:customStyle="1" w:styleId="Text6">
    <w:name w:val="Text 6"/>
    <w:basedOn w:val="Normlny"/>
    <w:pPr>
      <w:ind w:left="3685"/>
    </w:pPr>
  </w:style>
  <w:style w:type="paragraph" w:customStyle="1" w:styleId="NormalCentered">
    <w:name w:val="Normal Centered"/>
    <w:basedOn w:val="Normlny"/>
    <w:pPr>
      <w:jc w:val="center"/>
    </w:pPr>
  </w:style>
  <w:style w:type="paragraph" w:customStyle="1" w:styleId="NormalLeft">
    <w:name w:val="Normal Left"/>
    <w:basedOn w:val="Normlny"/>
    <w:pPr>
      <w:jc w:val="left"/>
    </w:pPr>
  </w:style>
  <w:style w:type="paragraph" w:customStyle="1" w:styleId="NormalRight">
    <w:name w:val="Normal Right"/>
    <w:basedOn w:val="Normlny"/>
    <w:pPr>
      <w:jc w:val="right"/>
    </w:pPr>
  </w:style>
  <w:style w:type="paragraph" w:customStyle="1" w:styleId="QuotedText">
    <w:name w:val="Quoted Text"/>
    <w:basedOn w:val="Normlny"/>
    <w:pPr>
      <w:ind w:left="1417"/>
    </w:pPr>
  </w:style>
  <w:style w:type="paragraph" w:customStyle="1" w:styleId="Point0">
    <w:name w:val="Point 0"/>
    <w:basedOn w:val="Normlny"/>
    <w:pPr>
      <w:ind w:left="850" w:hanging="850"/>
    </w:pPr>
  </w:style>
  <w:style w:type="paragraph" w:customStyle="1" w:styleId="Point1">
    <w:name w:val="Point 1"/>
    <w:basedOn w:val="Normlny"/>
    <w:pPr>
      <w:ind w:left="1417" w:hanging="567"/>
    </w:pPr>
  </w:style>
  <w:style w:type="paragraph" w:customStyle="1" w:styleId="Point2">
    <w:name w:val="Point 2"/>
    <w:basedOn w:val="Normlny"/>
    <w:pPr>
      <w:ind w:left="1984" w:hanging="567"/>
    </w:pPr>
  </w:style>
  <w:style w:type="paragraph" w:customStyle="1" w:styleId="Point3">
    <w:name w:val="Point 3"/>
    <w:basedOn w:val="Normlny"/>
    <w:pPr>
      <w:ind w:left="2551" w:hanging="567"/>
    </w:pPr>
  </w:style>
  <w:style w:type="paragraph" w:customStyle="1" w:styleId="Point4">
    <w:name w:val="Point 4"/>
    <w:basedOn w:val="Normlny"/>
    <w:pPr>
      <w:ind w:left="3118" w:hanging="567"/>
    </w:pPr>
  </w:style>
  <w:style w:type="paragraph" w:customStyle="1" w:styleId="Point5">
    <w:name w:val="Point 5"/>
    <w:basedOn w:val="Normlny"/>
    <w:pPr>
      <w:ind w:left="3685" w:hanging="567"/>
    </w:pPr>
  </w:style>
  <w:style w:type="paragraph" w:customStyle="1" w:styleId="Tiret0">
    <w:name w:val="Tiret 0"/>
    <w:basedOn w:val="Point0"/>
    <w:pPr>
      <w:numPr>
        <w:numId w:val="33"/>
      </w:numPr>
    </w:pPr>
  </w:style>
  <w:style w:type="paragraph" w:customStyle="1" w:styleId="Tiret1">
    <w:name w:val="Tiret 1"/>
    <w:basedOn w:val="Point1"/>
    <w:pPr>
      <w:numPr>
        <w:numId w:val="34"/>
      </w:numPr>
    </w:pPr>
  </w:style>
  <w:style w:type="paragraph" w:customStyle="1" w:styleId="Tiret2">
    <w:name w:val="Tiret 2"/>
    <w:basedOn w:val="Point2"/>
    <w:pPr>
      <w:numPr>
        <w:numId w:val="35"/>
      </w:numPr>
    </w:pPr>
  </w:style>
  <w:style w:type="paragraph" w:customStyle="1" w:styleId="Tiret3">
    <w:name w:val="Tiret 3"/>
    <w:basedOn w:val="Point3"/>
    <w:pPr>
      <w:numPr>
        <w:numId w:val="36"/>
      </w:numPr>
    </w:pPr>
  </w:style>
  <w:style w:type="paragraph" w:customStyle="1" w:styleId="Tiret4">
    <w:name w:val="Tiret 4"/>
    <w:basedOn w:val="Point4"/>
    <w:pPr>
      <w:numPr>
        <w:numId w:val="37"/>
      </w:numPr>
    </w:pPr>
  </w:style>
  <w:style w:type="paragraph" w:customStyle="1" w:styleId="Tiret5">
    <w:name w:val="Tiret 5"/>
    <w:basedOn w:val="Point5"/>
    <w:pPr>
      <w:numPr>
        <w:numId w:val="38"/>
      </w:numPr>
    </w:pPr>
  </w:style>
  <w:style w:type="paragraph" w:customStyle="1" w:styleId="PointDouble0">
    <w:name w:val="PointDouble 0"/>
    <w:basedOn w:val="Norm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ny"/>
    <w:next w:val="Text1"/>
    <w:pPr>
      <w:numPr>
        <w:numId w:val="39"/>
      </w:numPr>
    </w:pPr>
  </w:style>
  <w:style w:type="paragraph" w:customStyle="1" w:styleId="NumPar2">
    <w:name w:val="NumPar 2"/>
    <w:basedOn w:val="Normlny"/>
    <w:next w:val="Text1"/>
    <w:pPr>
      <w:numPr>
        <w:ilvl w:val="1"/>
        <w:numId w:val="39"/>
      </w:numPr>
    </w:pPr>
  </w:style>
  <w:style w:type="paragraph" w:customStyle="1" w:styleId="NumPar3">
    <w:name w:val="NumPar 3"/>
    <w:basedOn w:val="Normlny"/>
    <w:next w:val="Text1"/>
    <w:pPr>
      <w:numPr>
        <w:ilvl w:val="2"/>
        <w:numId w:val="39"/>
      </w:numPr>
    </w:pPr>
  </w:style>
  <w:style w:type="paragraph" w:customStyle="1" w:styleId="NumPar4">
    <w:name w:val="NumPar 4"/>
    <w:basedOn w:val="Normlny"/>
    <w:next w:val="Text1"/>
    <w:pPr>
      <w:numPr>
        <w:ilvl w:val="3"/>
        <w:numId w:val="39"/>
      </w:numPr>
    </w:pPr>
  </w:style>
  <w:style w:type="paragraph" w:customStyle="1" w:styleId="NumPar5">
    <w:name w:val="NumPar 5"/>
    <w:basedOn w:val="Normlny"/>
    <w:next w:val="Text2"/>
    <w:pPr>
      <w:numPr>
        <w:ilvl w:val="4"/>
        <w:numId w:val="39"/>
      </w:numPr>
    </w:pPr>
  </w:style>
  <w:style w:type="paragraph" w:customStyle="1" w:styleId="NumPar6">
    <w:name w:val="NumPar 6"/>
    <w:basedOn w:val="Normlny"/>
    <w:next w:val="Text2"/>
    <w:pPr>
      <w:numPr>
        <w:ilvl w:val="5"/>
        <w:numId w:val="39"/>
      </w:numPr>
    </w:pPr>
  </w:style>
  <w:style w:type="paragraph" w:customStyle="1" w:styleId="NumPar7">
    <w:name w:val="NumPar 7"/>
    <w:basedOn w:val="Normlny"/>
    <w:next w:val="Text2"/>
    <w:pPr>
      <w:numPr>
        <w:ilvl w:val="6"/>
        <w:numId w:val="39"/>
      </w:numPr>
    </w:pPr>
  </w:style>
  <w:style w:type="paragraph" w:customStyle="1" w:styleId="ManualNumPar1">
    <w:name w:val="Manual NumPar 1"/>
    <w:basedOn w:val="Normlny"/>
    <w:next w:val="Text1"/>
    <w:pPr>
      <w:ind w:left="850" w:hanging="850"/>
    </w:pPr>
  </w:style>
  <w:style w:type="paragraph" w:customStyle="1" w:styleId="ManualNumPar2">
    <w:name w:val="Manual NumPar 2"/>
    <w:basedOn w:val="Normlny"/>
    <w:next w:val="Text1"/>
    <w:pPr>
      <w:ind w:left="850" w:hanging="850"/>
    </w:pPr>
  </w:style>
  <w:style w:type="paragraph" w:customStyle="1" w:styleId="ManualNumPar3">
    <w:name w:val="Manual NumPar 3"/>
    <w:basedOn w:val="Normlny"/>
    <w:next w:val="Text1"/>
    <w:pPr>
      <w:ind w:left="850" w:hanging="850"/>
    </w:pPr>
  </w:style>
  <w:style w:type="paragraph" w:customStyle="1" w:styleId="ManualNumPar4">
    <w:name w:val="Manual NumPar 4"/>
    <w:basedOn w:val="Normlny"/>
    <w:next w:val="Text1"/>
    <w:pPr>
      <w:ind w:left="850" w:hanging="850"/>
    </w:pPr>
  </w:style>
  <w:style w:type="paragraph" w:customStyle="1" w:styleId="ManualNumPar5">
    <w:name w:val="Manual NumPar 5"/>
    <w:basedOn w:val="Normlny"/>
    <w:next w:val="Text2"/>
    <w:pPr>
      <w:ind w:left="1417" w:hanging="1417"/>
    </w:pPr>
  </w:style>
  <w:style w:type="paragraph" w:customStyle="1" w:styleId="ManualNumPar6">
    <w:name w:val="Manual NumPar 6"/>
    <w:basedOn w:val="Normlny"/>
    <w:next w:val="Text2"/>
    <w:pPr>
      <w:ind w:left="1417" w:hanging="1417"/>
    </w:pPr>
  </w:style>
  <w:style w:type="paragraph" w:customStyle="1" w:styleId="ManualNumPar7">
    <w:name w:val="Manual NumPar 7"/>
    <w:basedOn w:val="Normlny"/>
    <w:next w:val="Text2"/>
    <w:pPr>
      <w:ind w:left="1417" w:hanging="1417"/>
    </w:pPr>
  </w:style>
  <w:style w:type="paragraph" w:customStyle="1" w:styleId="QuotedNumPar">
    <w:name w:val="Quoted NumPar"/>
    <w:basedOn w:val="Normlny"/>
    <w:pPr>
      <w:ind w:left="1417" w:hanging="567"/>
    </w:pPr>
  </w:style>
  <w:style w:type="paragraph" w:customStyle="1" w:styleId="ManualHeading1">
    <w:name w:val="Manual Heading 1"/>
    <w:basedOn w:val="Norm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lny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lny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lny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lny"/>
    <w:next w:val="Norm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y"/>
    <w:next w:val="Nadpis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y"/>
    <w:next w:val="Normlny"/>
    <w:pPr>
      <w:jc w:val="center"/>
    </w:pPr>
    <w:rPr>
      <w:b/>
    </w:rPr>
  </w:style>
  <w:style w:type="character" w:customStyle="1" w:styleId="Marker">
    <w:name w:val="Marker"/>
    <w:basedOn w:val="Predvolenpsmoodseku"/>
    <w:rPr>
      <w:color w:val="0000FF"/>
      <w:shd w:val="clear" w:color="auto" w:fill="auto"/>
    </w:rPr>
  </w:style>
  <w:style w:type="character" w:customStyle="1" w:styleId="Marker1">
    <w:name w:val="Marker1"/>
    <w:basedOn w:val="Predvolenpsmoodseku"/>
    <w:rPr>
      <w:color w:val="008000"/>
      <w:shd w:val="clear" w:color="auto" w:fill="auto"/>
    </w:rPr>
  </w:style>
  <w:style w:type="character" w:customStyle="1" w:styleId="Marker2">
    <w:name w:val="Marker2"/>
    <w:basedOn w:val="Predvolenpsmoodseku"/>
    <w:rPr>
      <w:color w:val="FF0000"/>
      <w:shd w:val="clear" w:color="auto" w:fill="auto"/>
    </w:rPr>
  </w:style>
  <w:style w:type="paragraph" w:customStyle="1" w:styleId="Point0number">
    <w:name w:val="Point 0 (number)"/>
    <w:basedOn w:val="Normlny"/>
    <w:pPr>
      <w:numPr>
        <w:numId w:val="41"/>
      </w:numPr>
    </w:pPr>
  </w:style>
  <w:style w:type="paragraph" w:customStyle="1" w:styleId="Point1number">
    <w:name w:val="Point 1 (number)"/>
    <w:basedOn w:val="Normlny"/>
    <w:pPr>
      <w:numPr>
        <w:ilvl w:val="2"/>
        <w:numId w:val="41"/>
      </w:numPr>
    </w:pPr>
  </w:style>
  <w:style w:type="paragraph" w:customStyle="1" w:styleId="Point2number">
    <w:name w:val="Point 2 (number)"/>
    <w:basedOn w:val="Normlny"/>
    <w:pPr>
      <w:numPr>
        <w:ilvl w:val="4"/>
        <w:numId w:val="41"/>
      </w:numPr>
    </w:pPr>
  </w:style>
  <w:style w:type="paragraph" w:customStyle="1" w:styleId="Point3number">
    <w:name w:val="Point 3 (number)"/>
    <w:basedOn w:val="Normlny"/>
    <w:pPr>
      <w:numPr>
        <w:ilvl w:val="6"/>
        <w:numId w:val="41"/>
      </w:numPr>
    </w:pPr>
  </w:style>
  <w:style w:type="paragraph" w:customStyle="1" w:styleId="Point0letter">
    <w:name w:val="Point 0 (letter)"/>
    <w:basedOn w:val="Normlny"/>
    <w:pPr>
      <w:numPr>
        <w:ilvl w:val="1"/>
        <w:numId w:val="41"/>
      </w:numPr>
    </w:pPr>
  </w:style>
  <w:style w:type="paragraph" w:customStyle="1" w:styleId="Point1letter">
    <w:name w:val="Point 1 (letter)"/>
    <w:basedOn w:val="Normlny"/>
    <w:pPr>
      <w:numPr>
        <w:ilvl w:val="3"/>
        <w:numId w:val="41"/>
      </w:numPr>
    </w:pPr>
  </w:style>
  <w:style w:type="paragraph" w:customStyle="1" w:styleId="Point2letter">
    <w:name w:val="Point 2 (letter)"/>
    <w:basedOn w:val="Normlny"/>
    <w:pPr>
      <w:numPr>
        <w:ilvl w:val="5"/>
        <w:numId w:val="41"/>
      </w:numPr>
    </w:pPr>
  </w:style>
  <w:style w:type="paragraph" w:customStyle="1" w:styleId="Point3letter">
    <w:name w:val="Point 3 (letter)"/>
    <w:basedOn w:val="Normlny"/>
    <w:pPr>
      <w:numPr>
        <w:ilvl w:val="7"/>
        <w:numId w:val="41"/>
      </w:numPr>
    </w:pPr>
  </w:style>
  <w:style w:type="paragraph" w:customStyle="1" w:styleId="Point4letter">
    <w:name w:val="Point 4 (letter)"/>
    <w:basedOn w:val="Normlny"/>
    <w:pPr>
      <w:numPr>
        <w:ilvl w:val="8"/>
        <w:numId w:val="41"/>
      </w:numPr>
    </w:pPr>
  </w:style>
  <w:style w:type="paragraph" w:customStyle="1" w:styleId="Bullet0">
    <w:name w:val="Bullet 0"/>
    <w:basedOn w:val="Normlny"/>
    <w:pPr>
      <w:numPr>
        <w:numId w:val="42"/>
      </w:numPr>
    </w:pPr>
  </w:style>
  <w:style w:type="paragraph" w:customStyle="1" w:styleId="Bullet1">
    <w:name w:val="Bullet 1"/>
    <w:basedOn w:val="Normlny"/>
    <w:pPr>
      <w:numPr>
        <w:numId w:val="43"/>
      </w:numPr>
    </w:pPr>
  </w:style>
  <w:style w:type="paragraph" w:customStyle="1" w:styleId="Bullet2">
    <w:name w:val="Bullet 2"/>
    <w:basedOn w:val="Normlny"/>
    <w:pPr>
      <w:numPr>
        <w:numId w:val="44"/>
      </w:numPr>
    </w:pPr>
  </w:style>
  <w:style w:type="paragraph" w:customStyle="1" w:styleId="Bullet3">
    <w:name w:val="Bullet 3"/>
    <w:basedOn w:val="Normlny"/>
    <w:pPr>
      <w:numPr>
        <w:numId w:val="45"/>
      </w:numPr>
    </w:pPr>
  </w:style>
  <w:style w:type="paragraph" w:customStyle="1" w:styleId="Bullet4">
    <w:name w:val="Bullet 4"/>
    <w:basedOn w:val="Normlny"/>
    <w:pPr>
      <w:numPr>
        <w:numId w:val="46"/>
      </w:numPr>
    </w:pPr>
  </w:style>
  <w:style w:type="paragraph" w:customStyle="1" w:styleId="Langue">
    <w:name w:val="Langue"/>
    <w:basedOn w:val="Norm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lny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lny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lny"/>
    <w:next w:val="Normlny"/>
    <w:pPr>
      <w:spacing w:before="0" w:after="0"/>
    </w:pPr>
  </w:style>
  <w:style w:type="paragraph" w:customStyle="1" w:styleId="Declassification">
    <w:name w:val="Declassification"/>
    <w:basedOn w:val="Normlny"/>
    <w:next w:val="Normlny"/>
    <w:pPr>
      <w:spacing w:before="0" w:after="0"/>
    </w:pPr>
  </w:style>
  <w:style w:type="paragraph" w:customStyle="1" w:styleId="Disclaimer">
    <w:name w:val="Disclaimer"/>
    <w:basedOn w:val="Normlny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lny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lny"/>
    <w:next w:val="Normlny"/>
    <w:pPr>
      <w:jc w:val="center"/>
    </w:pPr>
    <w:rPr>
      <w:b/>
      <w:u w:val="single"/>
    </w:rPr>
  </w:style>
  <w:style w:type="paragraph" w:customStyle="1" w:styleId="Annexetitre">
    <w:name w:val="Annexe titre"/>
    <w:basedOn w:val="Normlny"/>
    <w:next w:val="Norm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ny"/>
    <w:next w:val="Norm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y"/>
    <w:next w:val="Fait"/>
    <w:pPr>
      <w:spacing w:before="480"/>
    </w:pPr>
  </w:style>
  <w:style w:type="paragraph" w:customStyle="1" w:styleId="Avertissementtitre">
    <w:name w:val="Avertissement titre"/>
    <w:basedOn w:val="Normlny"/>
    <w:next w:val="Norm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ny"/>
    <w:next w:val="Normlny"/>
    <w:pPr>
      <w:spacing w:before="360"/>
      <w:jc w:val="center"/>
    </w:pPr>
  </w:style>
  <w:style w:type="paragraph" w:customStyle="1" w:styleId="Confidentialit">
    <w:name w:val="Confidentialité"/>
    <w:basedOn w:val="Norm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ny"/>
    <w:pPr>
      <w:numPr>
        <w:numId w:val="47"/>
      </w:numPr>
    </w:pPr>
  </w:style>
  <w:style w:type="paragraph" w:customStyle="1" w:styleId="Corrigendum">
    <w:name w:val="Corrigendum"/>
    <w:basedOn w:val="Normlny"/>
    <w:next w:val="Normlny"/>
    <w:pPr>
      <w:spacing w:before="0" w:after="240"/>
      <w:jc w:val="left"/>
    </w:pPr>
  </w:style>
  <w:style w:type="paragraph" w:customStyle="1" w:styleId="Datedadoption">
    <w:name w:val="Date d'adoption"/>
    <w:basedOn w:val="Normlny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lny"/>
    <w:next w:val="Normlny"/>
    <w:pPr>
      <w:jc w:val="center"/>
    </w:pPr>
    <w:rPr>
      <w:b/>
      <w:u w:val="single"/>
    </w:rPr>
  </w:style>
  <w:style w:type="paragraph" w:customStyle="1" w:styleId="Fait">
    <w:name w:val="Fait à"/>
    <w:basedOn w:val="Norm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lny"/>
    <w:next w:val="Titrearticle"/>
    <w:pPr>
      <w:keepNext/>
    </w:pPr>
  </w:style>
  <w:style w:type="paragraph" w:customStyle="1" w:styleId="Institutionquiagit">
    <w:name w:val="Institution qui agit"/>
    <w:basedOn w:val="Normlny"/>
    <w:next w:val="Normlny"/>
    <w:pPr>
      <w:keepNext/>
      <w:spacing w:before="600"/>
    </w:pPr>
  </w:style>
  <w:style w:type="paragraph" w:customStyle="1" w:styleId="Institutionquisigne">
    <w:name w:val="Institution qui signe"/>
    <w:basedOn w:val="Norm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lny"/>
    <w:pPr>
      <w:ind w:left="709" w:hanging="709"/>
    </w:pPr>
  </w:style>
  <w:style w:type="paragraph" w:customStyle="1" w:styleId="Personnequisigne">
    <w:name w:val="Personne qui signe"/>
    <w:basedOn w:val="Norm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ny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lny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lny"/>
    <w:next w:val="Normlny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lny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Predvolenpsmoodseku"/>
    <w:rPr>
      <w:b/>
      <w:u w:val="single"/>
      <w:shd w:val="clear" w:color="auto" w:fill="auto"/>
    </w:rPr>
  </w:style>
  <w:style w:type="character" w:customStyle="1" w:styleId="Deleted">
    <w:name w:val="Deleted"/>
    <w:basedOn w:val="Predvolenpsmoodseku"/>
    <w:rPr>
      <w:strike/>
      <w:dstrike w:val="0"/>
      <w:shd w:val="clear" w:color="auto" w:fill="auto"/>
    </w:rPr>
  </w:style>
  <w:style w:type="paragraph" w:customStyle="1" w:styleId="Address">
    <w:name w:val="Address"/>
    <w:basedOn w:val="Normlny"/>
    <w:next w:val="Norm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ny"/>
    <w:next w:val="Normlny"/>
    <w:rPr>
      <w:i/>
      <w:caps/>
    </w:rPr>
  </w:style>
  <w:style w:type="paragraph" w:customStyle="1" w:styleId="Supertitre">
    <w:name w:val="Supertitre"/>
    <w:basedOn w:val="Normlny"/>
    <w:next w:val="Norm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ny"/>
    <w:next w:val="Normlny"/>
    <w:pPr>
      <w:spacing w:before="360" w:after="0"/>
      <w:jc w:val="center"/>
    </w:pPr>
  </w:style>
  <w:style w:type="paragraph" w:customStyle="1" w:styleId="Rfrencecroise">
    <w:name w:val="Référence croisée"/>
    <w:basedOn w:val="Normlny"/>
    <w:pPr>
      <w:spacing w:before="0" w:after="0"/>
      <w:jc w:val="center"/>
    </w:pPr>
  </w:style>
  <w:style w:type="paragraph" w:customStyle="1" w:styleId="Fichefinanciretitre">
    <w:name w:val="Fiche financière titre"/>
    <w:basedOn w:val="Normlny"/>
    <w:next w:val="Norm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ny"/>
    <w:pPr>
      <w:spacing w:after="240"/>
    </w:pPr>
  </w:style>
  <w:style w:type="paragraph" w:customStyle="1" w:styleId="Accompagnant">
    <w:name w:val="Accompagnant"/>
    <w:basedOn w:val="Normlny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lny"/>
    <w:next w:val="Normlny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7E51-9D2D-43F6-B43B-B73DAECD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17</Pages>
  <Words>4637</Words>
  <Characters>26436</Characters>
  <Application>Microsoft Office Word</Application>
  <DocSecurity>0</DocSecurity>
  <Lines>220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2023-05-11T13:45:00Z</dcterms:created>
  <dcterms:modified xsi:type="dcterms:W3CDTF">2023-05-11T13:45:00Z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7.0.1, Build 20200226</vt:lpwstr>
  </property>
  <property fmtid="{D5CDD505-2E9C-101B-9397-08002B2CF9AE}" pid="4" name="First annex">
    <vt:lpwstr>1</vt:lpwstr>
  </property>
  <property fmtid="{D5CDD505-2E9C-101B-9397-08002B2CF9AE}" pid="5" name="Last annex">
    <vt:lpwstr>9</vt:lpwstr>
  </property>
  <property fmtid="{D5CDD505-2E9C-101B-9397-08002B2CF9AE}" pid="6" name="Unique annex">
    <vt:lpwstr>0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SG-017</vt:lpwstr>
  </property>
  <property fmtid="{D5CDD505-2E9C-101B-9397-08002B2CF9AE}" pid="10" name="Category">
    <vt:lpwstr>COM/ANNEX</vt:lpwstr>
  </property>
  <property fmtid="{D5CDD505-2E9C-101B-9397-08002B2CF9AE}" pid="11" name="DQCStatus">
    <vt:lpwstr>Green (DQC version 03)</vt:lpwstr>
  </property>
</Properties>
</file>